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CB8E" w14:textId="77777777" w:rsidR="00BA0E39" w:rsidRPr="00495DAD" w:rsidRDefault="00BA0E39" w:rsidP="00C84812">
      <w:pPr>
        <w:pStyle w:val="Title"/>
        <w:spacing w:before="1320"/>
      </w:pPr>
      <w:r w:rsidRPr="00495DAD">
        <w:t xml:space="preserve">Independent Mental Health Advocacy </w:t>
      </w:r>
    </w:p>
    <w:p w14:paraId="11A84936" w14:textId="7B304064" w:rsidR="00BA0E39" w:rsidRPr="00BA0E39" w:rsidRDefault="00BA0E39" w:rsidP="00C84812">
      <w:pPr>
        <w:pStyle w:val="Title"/>
        <w:spacing w:before="1320"/>
      </w:pPr>
      <w:r w:rsidRPr="00495DAD">
        <w:t>Second Report to the Department of Health and Human Services – 1 November 2015 to 31 March 2016</w:t>
      </w:r>
    </w:p>
    <w:p w14:paraId="4B4CE8B3" w14:textId="772C2995" w:rsidR="00BA0E39" w:rsidRDefault="00BA0E39" w:rsidP="00C84812">
      <w:pPr>
        <w:pStyle w:val="Title"/>
        <w:spacing w:before="1320"/>
        <w:rPr>
          <w:sz w:val="28"/>
        </w:rPr>
      </w:pPr>
      <w:r w:rsidRPr="00495DAD">
        <w:rPr>
          <w:sz w:val="28"/>
        </w:rPr>
        <w:t>30 April 2016</w:t>
      </w:r>
    </w:p>
    <w:p w14:paraId="74442343" w14:textId="77777777" w:rsidR="00BA0E39" w:rsidRDefault="00BA0E39">
      <w:pPr>
        <w:spacing w:after="0" w:line="240" w:lineRule="auto"/>
        <w:jc w:val="left"/>
        <w:rPr>
          <w:rFonts w:cs="Arial"/>
          <w:sz w:val="28"/>
          <w:szCs w:val="32"/>
        </w:rPr>
      </w:pPr>
      <w:r>
        <w:rPr>
          <w:rFonts w:cs="Arial"/>
          <w:sz w:val="28"/>
          <w:szCs w:val="32"/>
        </w:rPr>
        <w:br w:type="page"/>
      </w:r>
    </w:p>
    <w:p w14:paraId="25242856" w14:textId="0CDA89EE" w:rsidR="00356D1D" w:rsidRDefault="00BA0E39" w:rsidP="001616CA">
      <w:pPr>
        <w:pStyle w:val="Heading1"/>
      </w:pPr>
      <w:r>
        <w:lastRenderedPageBreak/>
        <w:t>Purpose</w:t>
      </w:r>
    </w:p>
    <w:p w14:paraId="1A45D9D9" w14:textId="77777777" w:rsidR="00BA0E39" w:rsidRPr="00136756" w:rsidRDefault="00BA0E39" w:rsidP="00BA0E39">
      <w:pPr>
        <w:tabs>
          <w:tab w:val="left" w:pos="1370"/>
        </w:tabs>
        <w:spacing w:after="360"/>
        <w:jc w:val="left"/>
        <w:rPr>
          <w:rFonts w:cs="Arial"/>
        </w:rPr>
      </w:pPr>
      <w:r w:rsidRPr="00136756">
        <w:rPr>
          <w:rFonts w:cs="Arial"/>
        </w:rPr>
        <w:t xml:space="preserve">The purpose of the report is to provide DHHS with information regarding key performance indicators, demographics, location and referrals for the </w:t>
      </w:r>
      <w:r>
        <w:rPr>
          <w:rFonts w:cs="Arial"/>
        </w:rPr>
        <w:t xml:space="preserve">periods 1 November to 31 December 2015 and 1 January to 31 March 2016. </w:t>
      </w:r>
    </w:p>
    <w:p w14:paraId="4AF37516" w14:textId="77777777" w:rsidR="00BA0E39" w:rsidRPr="00930FF8" w:rsidRDefault="00BA0E39" w:rsidP="001616CA">
      <w:pPr>
        <w:pStyle w:val="Heading2"/>
      </w:pPr>
      <w:r w:rsidRPr="00930FF8">
        <w:t xml:space="preserve">An overview of the service’s </w:t>
      </w:r>
      <w:r>
        <w:t>work over the period of November 2015 to March 2016</w:t>
      </w:r>
    </w:p>
    <w:p w14:paraId="2CFCE153" w14:textId="17E04BC2" w:rsidR="00BA0E39" w:rsidRPr="00136756" w:rsidRDefault="00BA0E39" w:rsidP="00BA0E39">
      <w:pPr>
        <w:jc w:val="left"/>
        <w:rPr>
          <w:rFonts w:cs="Arial"/>
        </w:rPr>
      </w:pPr>
      <w:r w:rsidRPr="00136756">
        <w:rPr>
          <w:rFonts w:cs="Arial"/>
        </w:rPr>
        <w:t xml:space="preserve">IMHA began delivering services across the state on the 31 August 2015 </w:t>
      </w:r>
      <w:r>
        <w:rPr>
          <w:rFonts w:cs="Arial"/>
        </w:rPr>
        <w:t xml:space="preserve">with staff located in </w:t>
      </w:r>
      <w:r w:rsidRPr="00136756">
        <w:rPr>
          <w:rFonts w:cs="Arial"/>
        </w:rPr>
        <w:t xml:space="preserve">four VLA </w:t>
      </w:r>
      <w:r>
        <w:rPr>
          <w:rFonts w:cs="Arial"/>
        </w:rPr>
        <w:t>offices</w:t>
      </w:r>
      <w:r w:rsidRPr="00136756">
        <w:rPr>
          <w:rFonts w:cs="Arial"/>
        </w:rPr>
        <w:t xml:space="preserve">: Dandenong, Bendigo, Geelong and Melbourne. Services have been provided via the IMHA phone line, outposts, visits to consumers at </w:t>
      </w:r>
      <w:r>
        <w:rPr>
          <w:rFonts w:cs="Arial"/>
        </w:rPr>
        <w:t>m</w:t>
      </w:r>
      <w:r w:rsidRPr="00136756">
        <w:rPr>
          <w:rFonts w:cs="Arial"/>
        </w:rPr>
        <w:t xml:space="preserve">ental </w:t>
      </w:r>
      <w:r>
        <w:rPr>
          <w:rFonts w:cs="Arial"/>
        </w:rPr>
        <w:t>h</w:t>
      </w:r>
      <w:r w:rsidRPr="00136756">
        <w:rPr>
          <w:rFonts w:cs="Arial"/>
        </w:rPr>
        <w:t xml:space="preserve">ealth services and </w:t>
      </w:r>
      <w:r>
        <w:rPr>
          <w:rFonts w:cs="Arial"/>
        </w:rPr>
        <w:t>other services.</w:t>
      </w:r>
      <w:r w:rsidRPr="00136756">
        <w:rPr>
          <w:rFonts w:cs="Arial"/>
        </w:rPr>
        <w:t xml:space="preserve"> </w:t>
      </w:r>
      <w:r>
        <w:rPr>
          <w:rFonts w:cs="Arial"/>
        </w:rPr>
        <w:t>We</w:t>
      </w:r>
      <w:r w:rsidRPr="00136756">
        <w:rPr>
          <w:rFonts w:cs="Arial"/>
        </w:rPr>
        <w:t xml:space="preserve"> have </w:t>
      </w:r>
      <w:r>
        <w:rPr>
          <w:rFonts w:cs="Arial"/>
        </w:rPr>
        <w:t xml:space="preserve">now established outposts in the majority of Designated Mental Health Services in Victoria. Where we do not have an </w:t>
      </w:r>
      <w:r w:rsidR="004F2265">
        <w:rPr>
          <w:rFonts w:cs="Arial"/>
        </w:rPr>
        <w:t>outpost,</w:t>
      </w:r>
      <w:r>
        <w:rPr>
          <w:rFonts w:cs="Arial"/>
        </w:rPr>
        <w:t xml:space="preserve"> this has been a decision made with the Mental Health service and advocacy is being provided in other ways. We continue to work with the Mental Health sector to increase awareness of IMHA amongst staff and consumers. We also have</w:t>
      </w:r>
      <w:r w:rsidRPr="00136756">
        <w:rPr>
          <w:rFonts w:cs="Arial"/>
        </w:rPr>
        <w:t xml:space="preserve"> been working with other key stakeholders to </w:t>
      </w:r>
      <w:r>
        <w:rPr>
          <w:rFonts w:cs="Arial"/>
        </w:rPr>
        <w:t>finalise</w:t>
      </w:r>
      <w:r w:rsidRPr="00136756">
        <w:rPr>
          <w:rFonts w:cs="Arial"/>
        </w:rPr>
        <w:t xml:space="preserve"> referral protocols, including OPA Community Visitors</w:t>
      </w:r>
      <w:r>
        <w:rPr>
          <w:rFonts w:cs="Arial"/>
        </w:rPr>
        <w:t xml:space="preserve"> and</w:t>
      </w:r>
      <w:r w:rsidRPr="00136756">
        <w:rPr>
          <w:rFonts w:cs="Arial"/>
        </w:rPr>
        <w:t xml:space="preserve"> Mental Health Complaints Commission</w:t>
      </w:r>
      <w:r>
        <w:rPr>
          <w:rFonts w:cs="Arial"/>
        </w:rPr>
        <w:t>.</w:t>
      </w:r>
      <w:r w:rsidRPr="00136756">
        <w:rPr>
          <w:rFonts w:cs="Arial"/>
        </w:rPr>
        <w:t xml:space="preserve"> </w:t>
      </w:r>
    </w:p>
    <w:p w14:paraId="609CD52E" w14:textId="5D846E30" w:rsidR="00200979" w:rsidRDefault="00BA0E39" w:rsidP="00BA0E39">
      <w:pPr>
        <w:jc w:val="left"/>
      </w:pPr>
      <w:r w:rsidRPr="00136756">
        <w:t xml:space="preserve">IMHA </w:t>
      </w:r>
      <w:r>
        <w:t>has also now established a c</w:t>
      </w:r>
      <w:r w:rsidRPr="00136756">
        <w:t xml:space="preserve">onsumer </w:t>
      </w:r>
      <w:r>
        <w:t>a</w:t>
      </w:r>
      <w:r w:rsidRPr="00136756">
        <w:t xml:space="preserve">dvisory </w:t>
      </w:r>
      <w:r>
        <w:t>g</w:t>
      </w:r>
      <w:r w:rsidRPr="00136756">
        <w:t>roup</w:t>
      </w:r>
      <w:r>
        <w:t xml:space="preserve"> (named ‘Speaking </w:t>
      </w:r>
      <w:proofErr w:type="gramStart"/>
      <w:r>
        <w:t>From</w:t>
      </w:r>
      <w:proofErr w:type="gramEnd"/>
      <w:r>
        <w:t xml:space="preserve"> Experience’)</w:t>
      </w:r>
      <w:r w:rsidRPr="00136756">
        <w:t xml:space="preserve"> </w:t>
      </w:r>
      <w:r>
        <w:t xml:space="preserve">and all consultations have now been completed by the </w:t>
      </w:r>
      <w:r w:rsidRPr="00136756">
        <w:t xml:space="preserve">VMIAC advocate </w:t>
      </w:r>
      <w:r>
        <w:t>seconded to IMHA. The VMIAC advocate is now collating and analysing the information gathered and will prepare a report with recommendations for IMHA, including what tools could be developed to support consumers to self-advocate. IMHA now has a Program Logic and Evaluation and Monitoring Framework (previously provided to DHHS) and IMHA is in the process of developing the tools needed to measure impacts and outcomes. IMHA has also started the process of developing a database that will capture the information needed to continuously improve the service, meet reporting requirements and identify areas for systemic advocacy.</w:t>
      </w:r>
    </w:p>
    <w:p w14:paraId="3C8406BF" w14:textId="77777777" w:rsidR="00200979" w:rsidRDefault="00200979">
      <w:pPr>
        <w:spacing w:after="0" w:line="240" w:lineRule="auto"/>
        <w:jc w:val="left"/>
      </w:pPr>
      <w:r>
        <w:br w:type="page"/>
      </w:r>
    </w:p>
    <w:p w14:paraId="41C27F28" w14:textId="5D94F9B8" w:rsidR="00BA0E39" w:rsidRDefault="00BA0E39" w:rsidP="001616CA">
      <w:pPr>
        <w:pStyle w:val="Heading3"/>
      </w:pPr>
      <w:r w:rsidRPr="002C5EA8">
        <w:lastRenderedPageBreak/>
        <w:t>Targets</w:t>
      </w:r>
    </w:p>
    <w:p w14:paraId="142F4121" w14:textId="77777777" w:rsidR="00BA0E39" w:rsidRDefault="00BA0E39" w:rsidP="00C84812">
      <w:pPr>
        <w:tabs>
          <w:tab w:val="left" w:pos="1370"/>
        </w:tabs>
        <w:spacing w:after="240"/>
        <w:jc w:val="left"/>
        <w:rPr>
          <w:rFonts w:cs="Arial"/>
        </w:rPr>
      </w:pPr>
      <w:r>
        <w:rPr>
          <w:rFonts w:cs="Arial"/>
        </w:rPr>
        <w:t>Annual targets were set for IMHA in its first year of service delivery with DHHS. These targets are:</w:t>
      </w:r>
    </w:p>
    <w:p w14:paraId="73E240E3" w14:textId="77777777" w:rsidR="00BA0E39" w:rsidRDefault="00BA0E39" w:rsidP="00C84812">
      <w:pPr>
        <w:pStyle w:val="ListParagraph"/>
        <w:numPr>
          <w:ilvl w:val="0"/>
          <w:numId w:val="12"/>
        </w:numPr>
        <w:tabs>
          <w:tab w:val="left" w:pos="1370"/>
        </w:tabs>
        <w:spacing w:after="240" w:line="259" w:lineRule="auto"/>
        <w:jc w:val="left"/>
        <w:rPr>
          <w:rFonts w:cs="Arial"/>
        </w:rPr>
      </w:pPr>
      <w:r>
        <w:rPr>
          <w:rFonts w:cs="Arial"/>
        </w:rPr>
        <w:t>High intensity services (advocacy and coaching for self-advocacy) – 2,000 occasions of service</w:t>
      </w:r>
    </w:p>
    <w:p w14:paraId="49E0439E" w14:textId="77777777" w:rsidR="00BA0E39" w:rsidRPr="00882F39" w:rsidRDefault="00BA0E39" w:rsidP="00C84812">
      <w:pPr>
        <w:pStyle w:val="ListParagraph"/>
        <w:numPr>
          <w:ilvl w:val="0"/>
          <w:numId w:val="12"/>
        </w:numPr>
        <w:tabs>
          <w:tab w:val="left" w:pos="1370"/>
        </w:tabs>
        <w:spacing w:after="240" w:line="259" w:lineRule="auto"/>
        <w:jc w:val="left"/>
        <w:rPr>
          <w:rFonts w:cs="Arial"/>
        </w:rPr>
      </w:pPr>
      <w:r>
        <w:rPr>
          <w:rFonts w:cs="Arial"/>
        </w:rPr>
        <w:t>Low intensity services (information and referral) – 7,500 occasions of service</w:t>
      </w:r>
    </w:p>
    <w:p w14:paraId="51938489" w14:textId="5A3F31FE" w:rsidR="00BA0E39" w:rsidRDefault="00BA0E39" w:rsidP="00C84812">
      <w:pPr>
        <w:tabs>
          <w:tab w:val="left" w:pos="1370"/>
        </w:tabs>
        <w:spacing w:after="240"/>
        <w:jc w:val="left"/>
        <w:rPr>
          <w:rFonts w:cs="Arial"/>
        </w:rPr>
      </w:pPr>
      <w:r>
        <w:rPr>
          <w:rFonts w:cs="Arial"/>
        </w:rPr>
        <w:t xml:space="preserve">IMHA is currently on track to exceed the high intensity targets and meet the low intensity targets. </w:t>
      </w:r>
    </w:p>
    <w:p w14:paraId="2A9BBB54" w14:textId="1DCA3470" w:rsidR="00200979" w:rsidRDefault="00200979" w:rsidP="00C84812">
      <w:pPr>
        <w:pStyle w:val="Caption"/>
        <w:keepNext/>
        <w:jc w:val="left"/>
      </w:pPr>
      <w:r>
        <w:t xml:space="preserve">Table </w:t>
      </w:r>
      <w:r w:rsidR="008A3C5C">
        <w:rPr>
          <w:noProof/>
        </w:rPr>
        <w:fldChar w:fldCharType="begin"/>
      </w:r>
      <w:r w:rsidR="008A3C5C">
        <w:rPr>
          <w:noProof/>
        </w:rPr>
        <w:instrText xml:space="preserve"> SEQ Table \* ARABIC </w:instrText>
      </w:r>
      <w:r w:rsidR="008A3C5C">
        <w:rPr>
          <w:noProof/>
        </w:rPr>
        <w:fldChar w:fldCharType="separate"/>
      </w:r>
      <w:r w:rsidR="00F74973">
        <w:rPr>
          <w:noProof/>
        </w:rPr>
        <w:t>1</w:t>
      </w:r>
      <w:r w:rsidR="008A3C5C">
        <w:rPr>
          <w:noProof/>
        </w:rPr>
        <w:fldChar w:fldCharType="end"/>
      </w:r>
      <w:r>
        <w:t>: The table shows results from the period of November-December 2015 and January-March 2016.Total services of both high and low intensity is 7,535.</w:t>
      </w:r>
    </w:p>
    <w:tbl>
      <w:tblPr>
        <w:tblStyle w:val="TableGrid"/>
        <w:tblW w:w="0" w:type="auto"/>
        <w:tblLook w:val="04A0" w:firstRow="1" w:lastRow="0" w:firstColumn="1" w:lastColumn="0" w:noHBand="0" w:noVBand="1"/>
      </w:tblPr>
      <w:tblGrid>
        <w:gridCol w:w="2263"/>
        <w:gridCol w:w="2268"/>
        <w:gridCol w:w="2552"/>
        <w:gridCol w:w="2126"/>
      </w:tblGrid>
      <w:tr w:rsidR="00BA0E39" w:rsidRPr="00BA0E39" w14:paraId="7832BAC7" w14:textId="77777777" w:rsidTr="00BA0E39">
        <w:trPr>
          <w:cantSplit/>
          <w:tblHeader/>
        </w:trPr>
        <w:tc>
          <w:tcPr>
            <w:tcW w:w="2263" w:type="dxa"/>
          </w:tcPr>
          <w:p w14:paraId="08FF680E" w14:textId="1B7CED92" w:rsidR="00BA0E39" w:rsidRPr="00136756" w:rsidRDefault="00BA0E39" w:rsidP="00C84812">
            <w:pPr>
              <w:tabs>
                <w:tab w:val="left" w:pos="1370"/>
              </w:tabs>
              <w:jc w:val="left"/>
              <w:rPr>
                <w:rFonts w:cs="Arial"/>
                <w:b/>
              </w:rPr>
            </w:pPr>
            <w:r>
              <w:rPr>
                <w:rFonts w:cs="Arial"/>
                <w:b/>
              </w:rPr>
              <w:t xml:space="preserve">Reporting Period </w:t>
            </w:r>
          </w:p>
        </w:tc>
        <w:tc>
          <w:tcPr>
            <w:tcW w:w="2268" w:type="dxa"/>
          </w:tcPr>
          <w:p w14:paraId="4947A964" w14:textId="77777777" w:rsidR="00BA0E39" w:rsidRPr="00136756" w:rsidRDefault="00BA0E39" w:rsidP="00C84812">
            <w:pPr>
              <w:tabs>
                <w:tab w:val="left" w:pos="1370"/>
              </w:tabs>
              <w:jc w:val="left"/>
              <w:rPr>
                <w:rFonts w:cs="Arial"/>
                <w:b/>
              </w:rPr>
            </w:pPr>
            <w:r>
              <w:rPr>
                <w:rFonts w:cs="Arial"/>
                <w:b/>
              </w:rPr>
              <w:t>November-December 2015</w:t>
            </w:r>
          </w:p>
        </w:tc>
        <w:tc>
          <w:tcPr>
            <w:tcW w:w="2552" w:type="dxa"/>
          </w:tcPr>
          <w:p w14:paraId="5D3A4608" w14:textId="77777777" w:rsidR="00BA0E39" w:rsidRPr="00136756" w:rsidRDefault="00BA0E39" w:rsidP="00C84812">
            <w:pPr>
              <w:tabs>
                <w:tab w:val="left" w:pos="1370"/>
              </w:tabs>
              <w:jc w:val="left"/>
              <w:rPr>
                <w:rFonts w:cs="Arial"/>
                <w:b/>
              </w:rPr>
            </w:pPr>
            <w:r>
              <w:rPr>
                <w:rFonts w:cs="Arial"/>
                <w:b/>
              </w:rPr>
              <w:t>January – March 2016</w:t>
            </w:r>
          </w:p>
        </w:tc>
        <w:tc>
          <w:tcPr>
            <w:tcW w:w="2126" w:type="dxa"/>
            <w:shd w:val="clear" w:color="auto" w:fill="EAEAE0" w:themeFill="accent4" w:themeFillTint="33"/>
          </w:tcPr>
          <w:p w14:paraId="1F9D7F8B" w14:textId="77777777" w:rsidR="00BA0E39" w:rsidRDefault="00BA0E39" w:rsidP="00C84812">
            <w:pPr>
              <w:tabs>
                <w:tab w:val="left" w:pos="1370"/>
              </w:tabs>
              <w:jc w:val="left"/>
              <w:rPr>
                <w:rFonts w:cs="Arial"/>
                <w:b/>
              </w:rPr>
            </w:pPr>
            <w:r>
              <w:rPr>
                <w:rFonts w:cs="Arial"/>
                <w:b/>
              </w:rPr>
              <w:t>Year to Date</w:t>
            </w:r>
          </w:p>
        </w:tc>
      </w:tr>
      <w:tr w:rsidR="00BA0E39" w:rsidRPr="00136756" w14:paraId="77A68EFC" w14:textId="77777777" w:rsidTr="00BA0E39">
        <w:trPr>
          <w:cantSplit/>
        </w:trPr>
        <w:tc>
          <w:tcPr>
            <w:tcW w:w="2263" w:type="dxa"/>
          </w:tcPr>
          <w:p w14:paraId="4D3468D7" w14:textId="4AC9115F" w:rsidR="00BA0E39" w:rsidRPr="00136756" w:rsidRDefault="00BA0E39" w:rsidP="00C84812">
            <w:pPr>
              <w:tabs>
                <w:tab w:val="left" w:pos="1370"/>
              </w:tabs>
              <w:jc w:val="left"/>
              <w:rPr>
                <w:rFonts w:cs="Arial"/>
                <w:b/>
              </w:rPr>
            </w:pPr>
            <w:r w:rsidRPr="00136756">
              <w:rPr>
                <w:rFonts w:cs="Arial"/>
                <w:b/>
              </w:rPr>
              <w:t>High</w:t>
            </w:r>
            <w:r>
              <w:rPr>
                <w:rFonts w:cs="Arial"/>
                <w:b/>
              </w:rPr>
              <w:t xml:space="preserve"> </w:t>
            </w:r>
            <w:r w:rsidRPr="00136756">
              <w:rPr>
                <w:rFonts w:cs="Arial"/>
                <w:b/>
              </w:rPr>
              <w:t>Intensity</w:t>
            </w:r>
            <w:r>
              <w:rPr>
                <w:rFonts w:cs="Arial"/>
                <w:b/>
              </w:rPr>
              <w:t xml:space="preserve"> services</w:t>
            </w:r>
          </w:p>
        </w:tc>
        <w:tc>
          <w:tcPr>
            <w:tcW w:w="2268" w:type="dxa"/>
            <w:shd w:val="clear" w:color="auto" w:fill="FFFFFF" w:themeFill="background1"/>
          </w:tcPr>
          <w:p w14:paraId="6EA6E661" w14:textId="77777777" w:rsidR="00BA0E39" w:rsidRPr="00F7743D" w:rsidRDefault="00BA0E39" w:rsidP="00C84812">
            <w:pPr>
              <w:tabs>
                <w:tab w:val="left" w:pos="1370"/>
              </w:tabs>
              <w:jc w:val="left"/>
              <w:rPr>
                <w:rFonts w:cs="Arial"/>
              </w:rPr>
            </w:pPr>
            <w:r w:rsidRPr="00F7743D">
              <w:rPr>
                <w:rFonts w:cs="Arial"/>
              </w:rPr>
              <w:t>587</w:t>
            </w:r>
          </w:p>
        </w:tc>
        <w:tc>
          <w:tcPr>
            <w:tcW w:w="2552" w:type="dxa"/>
          </w:tcPr>
          <w:p w14:paraId="13E1151F" w14:textId="77777777" w:rsidR="00BA0E39" w:rsidRPr="00136756" w:rsidRDefault="00BA0E39" w:rsidP="00C84812">
            <w:pPr>
              <w:tabs>
                <w:tab w:val="left" w:pos="1370"/>
              </w:tabs>
              <w:jc w:val="left"/>
              <w:rPr>
                <w:rFonts w:cs="Arial"/>
              </w:rPr>
            </w:pPr>
            <w:r>
              <w:rPr>
                <w:rFonts w:cs="Arial"/>
              </w:rPr>
              <w:t>1273</w:t>
            </w:r>
          </w:p>
        </w:tc>
        <w:tc>
          <w:tcPr>
            <w:tcW w:w="2126" w:type="dxa"/>
            <w:shd w:val="clear" w:color="auto" w:fill="EAEAE0" w:themeFill="accent4" w:themeFillTint="33"/>
          </w:tcPr>
          <w:p w14:paraId="3CF3FFBB" w14:textId="77777777" w:rsidR="00BA0E39" w:rsidRDefault="00BA0E39" w:rsidP="00C84812">
            <w:pPr>
              <w:tabs>
                <w:tab w:val="left" w:pos="1370"/>
              </w:tabs>
              <w:jc w:val="left"/>
              <w:rPr>
                <w:rFonts w:cs="Arial"/>
              </w:rPr>
            </w:pPr>
            <w:r>
              <w:rPr>
                <w:rFonts w:cs="Arial"/>
              </w:rPr>
              <w:t>2768</w:t>
            </w:r>
          </w:p>
        </w:tc>
      </w:tr>
      <w:tr w:rsidR="00BA0E39" w:rsidRPr="00136756" w14:paraId="2F895857" w14:textId="77777777" w:rsidTr="00BA0E39">
        <w:trPr>
          <w:cantSplit/>
        </w:trPr>
        <w:tc>
          <w:tcPr>
            <w:tcW w:w="2263" w:type="dxa"/>
          </w:tcPr>
          <w:p w14:paraId="4BC84285" w14:textId="11768F22" w:rsidR="00BA0E39" w:rsidRPr="00136756" w:rsidRDefault="00BA0E39" w:rsidP="00C84812">
            <w:pPr>
              <w:tabs>
                <w:tab w:val="left" w:pos="1370"/>
              </w:tabs>
              <w:jc w:val="left"/>
              <w:rPr>
                <w:rFonts w:cs="Arial"/>
                <w:b/>
              </w:rPr>
            </w:pPr>
            <w:r w:rsidRPr="00136756">
              <w:rPr>
                <w:rFonts w:cs="Arial"/>
                <w:b/>
              </w:rPr>
              <w:t xml:space="preserve">Low Intensity </w:t>
            </w:r>
            <w:r>
              <w:rPr>
                <w:rFonts w:cs="Arial"/>
                <w:b/>
              </w:rPr>
              <w:t xml:space="preserve">Services </w:t>
            </w:r>
          </w:p>
        </w:tc>
        <w:tc>
          <w:tcPr>
            <w:tcW w:w="2268" w:type="dxa"/>
            <w:shd w:val="clear" w:color="auto" w:fill="FFFFFF" w:themeFill="background1"/>
          </w:tcPr>
          <w:p w14:paraId="5CACD496" w14:textId="77777777" w:rsidR="00BA0E39" w:rsidRPr="00F7743D" w:rsidRDefault="00BA0E39" w:rsidP="00C84812">
            <w:pPr>
              <w:tabs>
                <w:tab w:val="left" w:pos="1370"/>
              </w:tabs>
              <w:jc w:val="left"/>
              <w:rPr>
                <w:rFonts w:cs="Arial"/>
              </w:rPr>
            </w:pPr>
            <w:r w:rsidRPr="00F7743D">
              <w:rPr>
                <w:rFonts w:cs="Arial"/>
              </w:rPr>
              <w:t>1131</w:t>
            </w:r>
          </w:p>
        </w:tc>
        <w:tc>
          <w:tcPr>
            <w:tcW w:w="2552" w:type="dxa"/>
          </w:tcPr>
          <w:p w14:paraId="6D646A63" w14:textId="77777777" w:rsidR="00BA0E39" w:rsidRPr="00136756" w:rsidRDefault="00BA0E39" w:rsidP="00C84812">
            <w:pPr>
              <w:tabs>
                <w:tab w:val="left" w:pos="1370"/>
              </w:tabs>
              <w:jc w:val="left"/>
              <w:rPr>
                <w:rFonts w:cs="Arial"/>
              </w:rPr>
            </w:pPr>
            <w:r>
              <w:rPr>
                <w:rFonts w:cs="Arial"/>
              </w:rPr>
              <w:t>2014</w:t>
            </w:r>
          </w:p>
        </w:tc>
        <w:tc>
          <w:tcPr>
            <w:tcW w:w="2126" w:type="dxa"/>
            <w:shd w:val="clear" w:color="auto" w:fill="EAEAE0" w:themeFill="accent4" w:themeFillTint="33"/>
          </w:tcPr>
          <w:p w14:paraId="40524762" w14:textId="77777777" w:rsidR="00BA0E39" w:rsidRDefault="00BA0E39" w:rsidP="00C84812">
            <w:pPr>
              <w:tabs>
                <w:tab w:val="left" w:pos="1370"/>
              </w:tabs>
              <w:jc w:val="left"/>
              <w:rPr>
                <w:rFonts w:cs="Arial"/>
              </w:rPr>
            </w:pPr>
            <w:r>
              <w:rPr>
                <w:rFonts w:cs="Arial"/>
              </w:rPr>
              <w:t>4767</w:t>
            </w:r>
          </w:p>
        </w:tc>
      </w:tr>
      <w:tr w:rsidR="00BA0E39" w:rsidRPr="00136756" w14:paraId="0415B4C2" w14:textId="77777777" w:rsidTr="00BA0E39">
        <w:trPr>
          <w:cantSplit/>
        </w:trPr>
        <w:tc>
          <w:tcPr>
            <w:tcW w:w="2263" w:type="dxa"/>
          </w:tcPr>
          <w:p w14:paraId="430EBDFF" w14:textId="77777777" w:rsidR="00BA0E39" w:rsidRPr="00136756" w:rsidRDefault="00BA0E39" w:rsidP="00C84812">
            <w:pPr>
              <w:tabs>
                <w:tab w:val="left" w:pos="1370"/>
              </w:tabs>
              <w:jc w:val="left"/>
              <w:rPr>
                <w:rFonts w:cs="Arial"/>
                <w:b/>
              </w:rPr>
            </w:pPr>
            <w:r w:rsidRPr="00136756">
              <w:rPr>
                <w:rFonts w:cs="Arial"/>
                <w:b/>
              </w:rPr>
              <w:t>Total</w:t>
            </w:r>
          </w:p>
        </w:tc>
        <w:tc>
          <w:tcPr>
            <w:tcW w:w="2268" w:type="dxa"/>
            <w:shd w:val="clear" w:color="auto" w:fill="FFFFFF" w:themeFill="background1"/>
          </w:tcPr>
          <w:p w14:paraId="279BC8EA" w14:textId="77777777" w:rsidR="00BA0E39" w:rsidRPr="00F7743D" w:rsidRDefault="00BA0E39" w:rsidP="00C84812">
            <w:pPr>
              <w:tabs>
                <w:tab w:val="left" w:pos="1370"/>
              </w:tabs>
              <w:jc w:val="left"/>
              <w:rPr>
                <w:rFonts w:cs="Arial"/>
              </w:rPr>
            </w:pPr>
            <w:r w:rsidRPr="00F7743D">
              <w:rPr>
                <w:rFonts w:cs="Arial"/>
              </w:rPr>
              <w:t>1718</w:t>
            </w:r>
          </w:p>
        </w:tc>
        <w:tc>
          <w:tcPr>
            <w:tcW w:w="2552" w:type="dxa"/>
          </w:tcPr>
          <w:p w14:paraId="1E77745A" w14:textId="77777777" w:rsidR="00BA0E39" w:rsidRPr="00136756" w:rsidRDefault="00BA0E39" w:rsidP="00C84812">
            <w:pPr>
              <w:tabs>
                <w:tab w:val="left" w:pos="1370"/>
              </w:tabs>
              <w:jc w:val="left"/>
              <w:rPr>
                <w:rFonts w:cs="Arial"/>
              </w:rPr>
            </w:pPr>
            <w:r>
              <w:rPr>
                <w:rFonts w:cs="Arial"/>
              </w:rPr>
              <w:t>3287</w:t>
            </w:r>
          </w:p>
        </w:tc>
        <w:tc>
          <w:tcPr>
            <w:tcW w:w="2126" w:type="dxa"/>
            <w:shd w:val="clear" w:color="auto" w:fill="EAEAE0" w:themeFill="accent4" w:themeFillTint="33"/>
          </w:tcPr>
          <w:p w14:paraId="67B77523" w14:textId="77777777" w:rsidR="00BA0E39" w:rsidRDefault="00BA0E39" w:rsidP="00C84812">
            <w:pPr>
              <w:tabs>
                <w:tab w:val="left" w:pos="1370"/>
              </w:tabs>
              <w:jc w:val="left"/>
              <w:rPr>
                <w:rFonts w:cs="Arial"/>
              </w:rPr>
            </w:pPr>
            <w:r>
              <w:rPr>
                <w:rFonts w:cs="Arial"/>
              </w:rPr>
              <w:t>7,535</w:t>
            </w:r>
          </w:p>
        </w:tc>
      </w:tr>
    </w:tbl>
    <w:p w14:paraId="7CDA5499" w14:textId="77777777" w:rsidR="00200979" w:rsidRDefault="00200979">
      <w:pPr>
        <w:spacing w:after="0" w:line="240" w:lineRule="auto"/>
        <w:jc w:val="left"/>
        <w:rPr>
          <w:b/>
        </w:rPr>
      </w:pPr>
      <w:r>
        <w:br w:type="page"/>
      </w:r>
    </w:p>
    <w:p w14:paraId="66108634" w14:textId="780898C9" w:rsidR="00BA0E39" w:rsidRDefault="00BA0E39" w:rsidP="001616CA">
      <w:pPr>
        <w:pStyle w:val="Heading4"/>
      </w:pPr>
      <w:r w:rsidRPr="00D21EE8">
        <w:lastRenderedPageBreak/>
        <w:t xml:space="preserve">Demographics, Location and Referrals </w:t>
      </w:r>
    </w:p>
    <w:p w14:paraId="18F61B6B" w14:textId="632FED75" w:rsidR="00BA0E39" w:rsidRDefault="00BA0E39" w:rsidP="00C84812">
      <w:pPr>
        <w:tabs>
          <w:tab w:val="left" w:pos="1370"/>
        </w:tabs>
        <w:spacing w:after="240"/>
        <w:jc w:val="left"/>
        <w:rPr>
          <w:rFonts w:cs="Arial"/>
        </w:rPr>
      </w:pPr>
      <w:r w:rsidRPr="00286C36">
        <w:rPr>
          <w:rFonts w:cs="Arial"/>
          <w:u w:val="single"/>
        </w:rPr>
        <w:t>Demographics</w:t>
      </w:r>
      <w:r>
        <w:rPr>
          <w:rFonts w:cs="Arial"/>
        </w:rPr>
        <w:t xml:space="preserve">: </w:t>
      </w:r>
    </w:p>
    <w:p w14:paraId="3A785828" w14:textId="00C26EF9" w:rsidR="00200979" w:rsidRDefault="00200979" w:rsidP="00C84812">
      <w:pPr>
        <w:pStyle w:val="Caption"/>
        <w:keepNext/>
        <w:jc w:val="left"/>
      </w:pPr>
      <w:r>
        <w:t xml:space="preserve">Table </w:t>
      </w:r>
      <w:r w:rsidR="008A3C5C">
        <w:rPr>
          <w:noProof/>
        </w:rPr>
        <w:fldChar w:fldCharType="begin"/>
      </w:r>
      <w:r w:rsidR="008A3C5C">
        <w:rPr>
          <w:noProof/>
        </w:rPr>
        <w:instrText xml:space="preserve"> SEQ Table \* ARABIC </w:instrText>
      </w:r>
      <w:r w:rsidR="008A3C5C">
        <w:rPr>
          <w:noProof/>
        </w:rPr>
        <w:fldChar w:fldCharType="separate"/>
      </w:r>
      <w:r w:rsidR="00F74973">
        <w:rPr>
          <w:noProof/>
        </w:rPr>
        <w:t>2</w:t>
      </w:r>
      <w:r w:rsidR="008A3C5C">
        <w:rPr>
          <w:noProof/>
        </w:rPr>
        <w:fldChar w:fldCharType="end"/>
      </w:r>
      <w:r>
        <w:t xml:space="preserve">: The table displays demographic data including whether the consumer was born overseas, whether they required </w:t>
      </w:r>
      <w:r w:rsidR="0052474C">
        <w:t>interpreters</w:t>
      </w:r>
      <w:r>
        <w:t xml:space="preserve">, gender, whether the consumer </w:t>
      </w:r>
      <w:r w:rsidR="0052474C">
        <w:t>identifies</w:t>
      </w:r>
      <w:r>
        <w:t xml:space="preserve"> as Aboriginal, Torres Strait Islander or both and age.</w:t>
      </w:r>
    </w:p>
    <w:tbl>
      <w:tblPr>
        <w:tblStyle w:val="TableGrid"/>
        <w:tblW w:w="0" w:type="auto"/>
        <w:tblLook w:val="04A0" w:firstRow="1" w:lastRow="0" w:firstColumn="1" w:lastColumn="0" w:noHBand="0" w:noVBand="1"/>
      </w:tblPr>
      <w:tblGrid>
        <w:gridCol w:w="2237"/>
        <w:gridCol w:w="3651"/>
        <w:gridCol w:w="3321"/>
      </w:tblGrid>
      <w:tr w:rsidR="00286C36" w:rsidRPr="00495DAD" w14:paraId="479F8521" w14:textId="77777777" w:rsidTr="00286C36">
        <w:trPr>
          <w:trHeight w:val="440"/>
        </w:trPr>
        <w:tc>
          <w:tcPr>
            <w:tcW w:w="2237" w:type="dxa"/>
            <w:shd w:val="clear" w:color="auto" w:fill="EAEAE0" w:themeFill="accent4" w:themeFillTint="33"/>
          </w:tcPr>
          <w:p w14:paraId="0367BB3F" w14:textId="77777777" w:rsidR="00286C36" w:rsidRPr="00495DAD" w:rsidRDefault="00286C36" w:rsidP="00C84812">
            <w:pPr>
              <w:jc w:val="left"/>
              <w:rPr>
                <w:rFonts w:cs="Arial"/>
                <w:b/>
              </w:rPr>
            </w:pPr>
            <w:r w:rsidRPr="00495DAD">
              <w:rPr>
                <w:rFonts w:cs="Arial"/>
                <w:b/>
              </w:rPr>
              <w:t>Type</w:t>
            </w:r>
          </w:p>
        </w:tc>
        <w:tc>
          <w:tcPr>
            <w:tcW w:w="3651" w:type="dxa"/>
            <w:shd w:val="clear" w:color="auto" w:fill="EAEAE0" w:themeFill="accent4" w:themeFillTint="33"/>
          </w:tcPr>
          <w:p w14:paraId="3D871E3A" w14:textId="77777777" w:rsidR="00286C36" w:rsidRPr="00495DAD" w:rsidRDefault="00286C36" w:rsidP="00C84812">
            <w:pPr>
              <w:jc w:val="left"/>
              <w:rPr>
                <w:rFonts w:cs="Arial"/>
                <w:b/>
              </w:rPr>
            </w:pPr>
            <w:r w:rsidRPr="00495DAD">
              <w:rPr>
                <w:rFonts w:cs="Arial"/>
                <w:b/>
              </w:rPr>
              <w:t>November – December</w:t>
            </w:r>
          </w:p>
          <w:p w14:paraId="039F75B5" w14:textId="77777777" w:rsidR="00286C36" w:rsidRPr="00495DAD" w:rsidRDefault="00286C36" w:rsidP="00C84812">
            <w:pPr>
              <w:jc w:val="left"/>
              <w:rPr>
                <w:rFonts w:cs="Arial"/>
                <w:b/>
              </w:rPr>
            </w:pPr>
            <w:r w:rsidRPr="00495DAD">
              <w:rPr>
                <w:rFonts w:cs="Arial"/>
                <w:b/>
              </w:rPr>
              <w:t>%</w:t>
            </w:r>
          </w:p>
        </w:tc>
        <w:tc>
          <w:tcPr>
            <w:tcW w:w="3321" w:type="dxa"/>
            <w:shd w:val="clear" w:color="auto" w:fill="EAEAE0" w:themeFill="accent4" w:themeFillTint="33"/>
          </w:tcPr>
          <w:p w14:paraId="1773640B" w14:textId="77777777" w:rsidR="00286C36" w:rsidRPr="00495DAD" w:rsidRDefault="00286C36" w:rsidP="00C84812">
            <w:pPr>
              <w:jc w:val="left"/>
              <w:rPr>
                <w:rFonts w:cs="Arial"/>
                <w:b/>
              </w:rPr>
            </w:pPr>
            <w:r w:rsidRPr="00495DAD">
              <w:rPr>
                <w:rFonts w:cs="Arial"/>
                <w:b/>
              </w:rPr>
              <w:t>January – March</w:t>
            </w:r>
          </w:p>
          <w:p w14:paraId="40D1B1D1" w14:textId="77777777" w:rsidR="00286C36" w:rsidRPr="00495DAD" w:rsidRDefault="00286C36" w:rsidP="00C84812">
            <w:pPr>
              <w:jc w:val="left"/>
              <w:rPr>
                <w:rFonts w:cs="Arial"/>
                <w:b/>
              </w:rPr>
            </w:pPr>
            <w:r w:rsidRPr="00495DAD">
              <w:rPr>
                <w:rFonts w:cs="Arial"/>
                <w:b/>
              </w:rPr>
              <w:t>%</w:t>
            </w:r>
          </w:p>
        </w:tc>
      </w:tr>
      <w:tr w:rsidR="00286C36" w:rsidRPr="00495DAD" w14:paraId="63479299" w14:textId="77777777" w:rsidTr="00286C36">
        <w:tc>
          <w:tcPr>
            <w:tcW w:w="2237" w:type="dxa"/>
          </w:tcPr>
          <w:p w14:paraId="4DC31389" w14:textId="1BE3BCFC" w:rsidR="00286C36" w:rsidRPr="00495DAD" w:rsidRDefault="00286C36" w:rsidP="00C84812">
            <w:pPr>
              <w:jc w:val="left"/>
              <w:rPr>
                <w:rFonts w:cs="Arial"/>
                <w:b/>
              </w:rPr>
            </w:pPr>
            <w:r w:rsidRPr="00495DAD">
              <w:rPr>
                <w:rFonts w:cs="Arial"/>
                <w:b/>
              </w:rPr>
              <w:t xml:space="preserve">Born </w:t>
            </w:r>
            <w:r w:rsidR="00985800">
              <w:rPr>
                <w:rFonts w:cs="Arial"/>
                <w:b/>
              </w:rPr>
              <w:t>o</w:t>
            </w:r>
            <w:r w:rsidRPr="00495DAD">
              <w:rPr>
                <w:rFonts w:cs="Arial"/>
                <w:b/>
              </w:rPr>
              <w:t>verseas</w:t>
            </w:r>
          </w:p>
        </w:tc>
        <w:tc>
          <w:tcPr>
            <w:tcW w:w="3651" w:type="dxa"/>
          </w:tcPr>
          <w:p w14:paraId="4FD152B9" w14:textId="77777777" w:rsidR="00286C36" w:rsidRPr="00495DAD" w:rsidRDefault="00286C36" w:rsidP="00C84812">
            <w:pPr>
              <w:jc w:val="left"/>
              <w:rPr>
                <w:rFonts w:cs="Arial"/>
              </w:rPr>
            </w:pPr>
            <w:r w:rsidRPr="00495DAD">
              <w:rPr>
                <w:rFonts w:cs="Arial"/>
              </w:rPr>
              <w:t>11.7</w:t>
            </w:r>
          </w:p>
        </w:tc>
        <w:tc>
          <w:tcPr>
            <w:tcW w:w="3321" w:type="dxa"/>
          </w:tcPr>
          <w:p w14:paraId="2C5F68E3" w14:textId="77777777" w:rsidR="00286C36" w:rsidRPr="00495DAD" w:rsidRDefault="00286C36" w:rsidP="00C84812">
            <w:pPr>
              <w:jc w:val="left"/>
              <w:rPr>
                <w:rFonts w:cs="Arial"/>
              </w:rPr>
            </w:pPr>
            <w:r w:rsidRPr="00495DAD">
              <w:rPr>
                <w:rFonts w:cs="Arial"/>
              </w:rPr>
              <w:t>13.7</w:t>
            </w:r>
          </w:p>
        </w:tc>
      </w:tr>
      <w:tr w:rsidR="00286C36" w:rsidRPr="00495DAD" w14:paraId="733F3467" w14:textId="77777777" w:rsidTr="00286C36">
        <w:tc>
          <w:tcPr>
            <w:tcW w:w="2237" w:type="dxa"/>
          </w:tcPr>
          <w:p w14:paraId="4BCFD205" w14:textId="38C2E3F3" w:rsidR="00286C36" w:rsidRPr="00495DAD" w:rsidRDefault="00286C36" w:rsidP="00C84812">
            <w:pPr>
              <w:jc w:val="left"/>
              <w:rPr>
                <w:rFonts w:cs="Arial"/>
                <w:b/>
              </w:rPr>
            </w:pPr>
            <w:r w:rsidRPr="00495DAD">
              <w:rPr>
                <w:rFonts w:cs="Arial"/>
                <w:b/>
              </w:rPr>
              <w:t xml:space="preserve">Interpreter </w:t>
            </w:r>
            <w:r w:rsidR="00985800">
              <w:rPr>
                <w:rFonts w:cs="Arial"/>
                <w:b/>
              </w:rPr>
              <w:t>n</w:t>
            </w:r>
            <w:r w:rsidRPr="00495DAD">
              <w:rPr>
                <w:rFonts w:cs="Arial"/>
                <w:b/>
              </w:rPr>
              <w:t>eeded</w:t>
            </w:r>
          </w:p>
        </w:tc>
        <w:tc>
          <w:tcPr>
            <w:tcW w:w="3651" w:type="dxa"/>
          </w:tcPr>
          <w:p w14:paraId="7EB8ECDE" w14:textId="77777777" w:rsidR="00286C36" w:rsidRPr="00495DAD" w:rsidRDefault="00286C36" w:rsidP="00C84812">
            <w:pPr>
              <w:jc w:val="left"/>
              <w:rPr>
                <w:rFonts w:cs="Arial"/>
              </w:rPr>
            </w:pPr>
            <w:r w:rsidRPr="00495DAD">
              <w:rPr>
                <w:rFonts w:cs="Arial"/>
              </w:rPr>
              <w:t>1.6</w:t>
            </w:r>
          </w:p>
        </w:tc>
        <w:tc>
          <w:tcPr>
            <w:tcW w:w="3321" w:type="dxa"/>
          </w:tcPr>
          <w:p w14:paraId="176405CC" w14:textId="77777777" w:rsidR="00286C36" w:rsidRPr="00495DAD" w:rsidRDefault="00286C36" w:rsidP="00C84812">
            <w:pPr>
              <w:jc w:val="left"/>
              <w:rPr>
                <w:rFonts w:cs="Arial"/>
              </w:rPr>
            </w:pPr>
            <w:r w:rsidRPr="00495DAD">
              <w:rPr>
                <w:rFonts w:cs="Arial"/>
              </w:rPr>
              <w:t>1</w:t>
            </w:r>
          </w:p>
        </w:tc>
      </w:tr>
      <w:tr w:rsidR="00286C36" w:rsidRPr="00495DAD" w14:paraId="18D850CF" w14:textId="77777777" w:rsidTr="00286C36">
        <w:tc>
          <w:tcPr>
            <w:tcW w:w="2237" w:type="dxa"/>
          </w:tcPr>
          <w:p w14:paraId="5ACA56B1" w14:textId="77777777" w:rsidR="00286C36" w:rsidRPr="00495DAD" w:rsidRDefault="00286C36" w:rsidP="00C84812">
            <w:pPr>
              <w:jc w:val="left"/>
              <w:rPr>
                <w:rFonts w:cs="Arial"/>
                <w:b/>
              </w:rPr>
            </w:pPr>
            <w:r w:rsidRPr="00495DAD">
              <w:rPr>
                <w:rFonts w:cs="Arial"/>
                <w:b/>
              </w:rPr>
              <w:t>Gender</w:t>
            </w:r>
          </w:p>
          <w:p w14:paraId="1F6CA722" w14:textId="77777777" w:rsidR="00286C36" w:rsidRPr="00495DAD" w:rsidRDefault="00286C36" w:rsidP="00C84812">
            <w:pPr>
              <w:jc w:val="left"/>
              <w:rPr>
                <w:rFonts w:cs="Arial"/>
              </w:rPr>
            </w:pPr>
            <w:r w:rsidRPr="00495DAD">
              <w:rPr>
                <w:rFonts w:cs="Arial"/>
              </w:rPr>
              <w:t>Male</w:t>
            </w:r>
          </w:p>
          <w:p w14:paraId="26548D3C" w14:textId="77777777" w:rsidR="00286C36" w:rsidRPr="00495DAD" w:rsidRDefault="00286C36" w:rsidP="00C84812">
            <w:pPr>
              <w:jc w:val="left"/>
              <w:rPr>
                <w:rFonts w:cs="Arial"/>
              </w:rPr>
            </w:pPr>
            <w:r w:rsidRPr="00495DAD">
              <w:rPr>
                <w:rFonts w:cs="Arial"/>
              </w:rPr>
              <w:t>Female</w:t>
            </w:r>
          </w:p>
        </w:tc>
        <w:tc>
          <w:tcPr>
            <w:tcW w:w="3651" w:type="dxa"/>
          </w:tcPr>
          <w:p w14:paraId="6AB0BB5A" w14:textId="77777777" w:rsidR="00286C36" w:rsidRDefault="00286C36" w:rsidP="00C84812">
            <w:pPr>
              <w:jc w:val="left"/>
              <w:rPr>
                <w:rFonts w:cs="Arial"/>
              </w:rPr>
            </w:pPr>
          </w:p>
          <w:p w14:paraId="624A0AA2" w14:textId="542A028D" w:rsidR="00286C36" w:rsidRPr="00495DAD" w:rsidRDefault="00286C36" w:rsidP="00C84812">
            <w:pPr>
              <w:jc w:val="left"/>
              <w:rPr>
                <w:rFonts w:cs="Arial"/>
              </w:rPr>
            </w:pPr>
            <w:r w:rsidRPr="00495DAD">
              <w:rPr>
                <w:rFonts w:cs="Arial"/>
              </w:rPr>
              <w:t>55.6</w:t>
            </w:r>
          </w:p>
          <w:p w14:paraId="4D86DA5E" w14:textId="77777777" w:rsidR="00286C36" w:rsidRPr="00495DAD" w:rsidRDefault="00286C36" w:rsidP="00C84812">
            <w:pPr>
              <w:jc w:val="left"/>
              <w:rPr>
                <w:rFonts w:cs="Arial"/>
              </w:rPr>
            </w:pPr>
            <w:r w:rsidRPr="00495DAD">
              <w:rPr>
                <w:rFonts w:cs="Arial"/>
              </w:rPr>
              <w:t>44.4</w:t>
            </w:r>
          </w:p>
        </w:tc>
        <w:tc>
          <w:tcPr>
            <w:tcW w:w="3321" w:type="dxa"/>
          </w:tcPr>
          <w:p w14:paraId="264A4541" w14:textId="77777777" w:rsidR="00286C36" w:rsidRDefault="00286C36" w:rsidP="00C84812">
            <w:pPr>
              <w:jc w:val="left"/>
              <w:rPr>
                <w:rFonts w:cs="Arial"/>
              </w:rPr>
            </w:pPr>
          </w:p>
          <w:p w14:paraId="0859CC4D" w14:textId="19106DA0" w:rsidR="00286C36" w:rsidRPr="00495DAD" w:rsidRDefault="00286C36" w:rsidP="00C84812">
            <w:pPr>
              <w:jc w:val="left"/>
              <w:rPr>
                <w:rFonts w:cs="Arial"/>
              </w:rPr>
            </w:pPr>
            <w:r w:rsidRPr="00495DAD">
              <w:rPr>
                <w:rFonts w:cs="Arial"/>
              </w:rPr>
              <w:t>48.8</w:t>
            </w:r>
          </w:p>
          <w:p w14:paraId="77FF5121" w14:textId="77777777" w:rsidR="00286C36" w:rsidRPr="00495DAD" w:rsidRDefault="00286C36" w:rsidP="00C84812">
            <w:pPr>
              <w:jc w:val="left"/>
              <w:rPr>
                <w:rFonts w:cs="Arial"/>
              </w:rPr>
            </w:pPr>
            <w:r w:rsidRPr="00495DAD">
              <w:rPr>
                <w:rFonts w:cs="Arial"/>
              </w:rPr>
              <w:t>50.9</w:t>
            </w:r>
          </w:p>
        </w:tc>
      </w:tr>
      <w:tr w:rsidR="00286C36" w:rsidRPr="00495DAD" w14:paraId="1891860F" w14:textId="77777777" w:rsidTr="00286C36">
        <w:tc>
          <w:tcPr>
            <w:tcW w:w="2237" w:type="dxa"/>
          </w:tcPr>
          <w:p w14:paraId="3DA0C561" w14:textId="77777777" w:rsidR="00286C36" w:rsidRPr="00495DAD" w:rsidRDefault="00286C36" w:rsidP="00C84812">
            <w:pPr>
              <w:jc w:val="left"/>
              <w:rPr>
                <w:rFonts w:cs="Arial"/>
                <w:b/>
              </w:rPr>
            </w:pPr>
            <w:r w:rsidRPr="00495DAD">
              <w:rPr>
                <w:rFonts w:cs="Arial"/>
                <w:b/>
              </w:rPr>
              <w:t>Aboriginal and/or Torres Strait Islander</w:t>
            </w:r>
          </w:p>
        </w:tc>
        <w:tc>
          <w:tcPr>
            <w:tcW w:w="3651" w:type="dxa"/>
          </w:tcPr>
          <w:p w14:paraId="5BC0EC35" w14:textId="77777777" w:rsidR="00286C36" w:rsidRPr="00495DAD" w:rsidRDefault="00286C36" w:rsidP="00C84812">
            <w:pPr>
              <w:jc w:val="left"/>
              <w:rPr>
                <w:rFonts w:cs="Arial"/>
              </w:rPr>
            </w:pPr>
            <w:r w:rsidRPr="00495DAD">
              <w:rPr>
                <w:rFonts w:cs="Arial"/>
              </w:rPr>
              <w:t>3.7</w:t>
            </w:r>
          </w:p>
        </w:tc>
        <w:tc>
          <w:tcPr>
            <w:tcW w:w="3321" w:type="dxa"/>
          </w:tcPr>
          <w:p w14:paraId="1332A285" w14:textId="77777777" w:rsidR="00286C36" w:rsidRPr="00495DAD" w:rsidRDefault="00286C36" w:rsidP="00C84812">
            <w:pPr>
              <w:jc w:val="left"/>
              <w:rPr>
                <w:rFonts w:cs="Arial"/>
              </w:rPr>
            </w:pPr>
            <w:r w:rsidRPr="00495DAD">
              <w:rPr>
                <w:rFonts w:cs="Arial"/>
              </w:rPr>
              <w:t>4.4</w:t>
            </w:r>
          </w:p>
        </w:tc>
      </w:tr>
      <w:tr w:rsidR="00286C36" w:rsidRPr="00495DAD" w14:paraId="0F7ABD41" w14:textId="77777777" w:rsidTr="00286C36">
        <w:tc>
          <w:tcPr>
            <w:tcW w:w="2237" w:type="dxa"/>
          </w:tcPr>
          <w:p w14:paraId="21D0BAB4" w14:textId="77777777" w:rsidR="00286C36" w:rsidRPr="00495DAD" w:rsidRDefault="00286C36" w:rsidP="00C84812">
            <w:pPr>
              <w:jc w:val="left"/>
              <w:rPr>
                <w:rFonts w:cs="Arial"/>
                <w:b/>
              </w:rPr>
            </w:pPr>
            <w:r w:rsidRPr="00495DAD">
              <w:rPr>
                <w:rFonts w:cs="Arial"/>
                <w:b/>
              </w:rPr>
              <w:t xml:space="preserve">Age </w:t>
            </w:r>
          </w:p>
          <w:p w14:paraId="5F974948" w14:textId="77777777" w:rsidR="00286C36" w:rsidRPr="00495DAD" w:rsidRDefault="00286C36" w:rsidP="00C84812">
            <w:pPr>
              <w:jc w:val="left"/>
              <w:rPr>
                <w:rFonts w:cs="Arial"/>
              </w:rPr>
            </w:pPr>
            <w:r w:rsidRPr="00495DAD">
              <w:rPr>
                <w:rFonts w:cs="Arial"/>
              </w:rPr>
              <w:t>18 and under</w:t>
            </w:r>
          </w:p>
          <w:p w14:paraId="49E32A58" w14:textId="77777777" w:rsidR="00286C36" w:rsidRPr="00495DAD" w:rsidRDefault="00286C36" w:rsidP="00C84812">
            <w:pPr>
              <w:jc w:val="left"/>
              <w:rPr>
                <w:rFonts w:cs="Arial"/>
              </w:rPr>
            </w:pPr>
            <w:r w:rsidRPr="00495DAD">
              <w:rPr>
                <w:rFonts w:cs="Arial"/>
              </w:rPr>
              <w:t>18-20</w:t>
            </w:r>
          </w:p>
          <w:p w14:paraId="2ADC4DFB" w14:textId="77777777" w:rsidR="00286C36" w:rsidRPr="00495DAD" w:rsidRDefault="00286C36" w:rsidP="00C84812">
            <w:pPr>
              <w:jc w:val="left"/>
              <w:rPr>
                <w:rFonts w:cs="Arial"/>
              </w:rPr>
            </w:pPr>
            <w:r w:rsidRPr="00495DAD">
              <w:rPr>
                <w:rFonts w:cs="Arial"/>
              </w:rPr>
              <w:t>18-30</w:t>
            </w:r>
          </w:p>
          <w:p w14:paraId="60A8721E" w14:textId="77777777" w:rsidR="00286C36" w:rsidRPr="00495DAD" w:rsidRDefault="00286C36" w:rsidP="00C84812">
            <w:pPr>
              <w:jc w:val="left"/>
              <w:rPr>
                <w:rFonts w:cs="Arial"/>
              </w:rPr>
            </w:pPr>
            <w:r w:rsidRPr="00495DAD">
              <w:rPr>
                <w:rFonts w:cs="Arial"/>
              </w:rPr>
              <w:t>31-40</w:t>
            </w:r>
          </w:p>
          <w:p w14:paraId="392EE43B" w14:textId="77777777" w:rsidR="00286C36" w:rsidRPr="00495DAD" w:rsidRDefault="00286C36" w:rsidP="00C84812">
            <w:pPr>
              <w:jc w:val="left"/>
              <w:rPr>
                <w:rFonts w:cs="Arial"/>
              </w:rPr>
            </w:pPr>
            <w:r w:rsidRPr="00495DAD">
              <w:rPr>
                <w:rFonts w:cs="Arial"/>
              </w:rPr>
              <w:t>41-50</w:t>
            </w:r>
          </w:p>
          <w:p w14:paraId="56F68486" w14:textId="77777777" w:rsidR="00286C36" w:rsidRPr="00495DAD" w:rsidRDefault="00286C36" w:rsidP="00C84812">
            <w:pPr>
              <w:jc w:val="left"/>
              <w:rPr>
                <w:rFonts w:cs="Arial"/>
              </w:rPr>
            </w:pPr>
            <w:r w:rsidRPr="00495DAD">
              <w:rPr>
                <w:rFonts w:cs="Arial"/>
              </w:rPr>
              <w:t>51-65</w:t>
            </w:r>
          </w:p>
          <w:p w14:paraId="4A46E165" w14:textId="77777777" w:rsidR="00286C36" w:rsidRPr="00495DAD" w:rsidRDefault="00286C36" w:rsidP="00C84812">
            <w:pPr>
              <w:jc w:val="left"/>
              <w:rPr>
                <w:rFonts w:cs="Arial"/>
              </w:rPr>
            </w:pPr>
            <w:r w:rsidRPr="00495DAD">
              <w:rPr>
                <w:rFonts w:cs="Arial"/>
              </w:rPr>
              <w:t>65 and over</w:t>
            </w:r>
          </w:p>
        </w:tc>
        <w:tc>
          <w:tcPr>
            <w:tcW w:w="3651" w:type="dxa"/>
          </w:tcPr>
          <w:p w14:paraId="1C41BBEE" w14:textId="77777777" w:rsidR="00286C36" w:rsidRPr="00495DAD" w:rsidRDefault="00286C36" w:rsidP="00C84812">
            <w:pPr>
              <w:jc w:val="left"/>
              <w:rPr>
                <w:rFonts w:cs="Arial"/>
              </w:rPr>
            </w:pPr>
          </w:p>
          <w:p w14:paraId="20D363F1" w14:textId="77777777" w:rsidR="00286C36" w:rsidRPr="00495DAD" w:rsidRDefault="00286C36" w:rsidP="00C84812">
            <w:pPr>
              <w:jc w:val="left"/>
              <w:rPr>
                <w:rFonts w:cs="Arial"/>
              </w:rPr>
            </w:pPr>
            <w:r w:rsidRPr="00495DAD">
              <w:rPr>
                <w:rFonts w:cs="Arial"/>
              </w:rPr>
              <w:t>0.5</w:t>
            </w:r>
          </w:p>
          <w:p w14:paraId="68ADDD27" w14:textId="77777777" w:rsidR="00286C36" w:rsidRPr="00495DAD" w:rsidRDefault="00286C36" w:rsidP="00C84812">
            <w:pPr>
              <w:jc w:val="left"/>
              <w:rPr>
                <w:rFonts w:cs="Arial"/>
              </w:rPr>
            </w:pPr>
            <w:r w:rsidRPr="00495DAD">
              <w:rPr>
                <w:rFonts w:cs="Arial"/>
              </w:rPr>
              <w:t>1.6</w:t>
            </w:r>
          </w:p>
          <w:p w14:paraId="710A21BE" w14:textId="77777777" w:rsidR="00286C36" w:rsidRPr="00495DAD" w:rsidRDefault="00286C36" w:rsidP="00C84812">
            <w:pPr>
              <w:jc w:val="left"/>
              <w:rPr>
                <w:rFonts w:cs="Arial"/>
              </w:rPr>
            </w:pPr>
            <w:r w:rsidRPr="00495DAD">
              <w:rPr>
                <w:rFonts w:cs="Arial"/>
              </w:rPr>
              <w:t>15.5</w:t>
            </w:r>
          </w:p>
          <w:p w14:paraId="2CBD6A8A" w14:textId="77777777" w:rsidR="00286C36" w:rsidRPr="00495DAD" w:rsidRDefault="00286C36" w:rsidP="00C84812">
            <w:pPr>
              <w:jc w:val="left"/>
              <w:rPr>
                <w:rFonts w:cs="Arial"/>
              </w:rPr>
            </w:pPr>
            <w:r w:rsidRPr="00495DAD">
              <w:rPr>
                <w:rFonts w:cs="Arial"/>
              </w:rPr>
              <w:t>34.2</w:t>
            </w:r>
          </w:p>
          <w:p w14:paraId="79ACF4FD" w14:textId="77777777" w:rsidR="00286C36" w:rsidRPr="00495DAD" w:rsidRDefault="00286C36" w:rsidP="00C84812">
            <w:pPr>
              <w:jc w:val="left"/>
              <w:rPr>
                <w:rFonts w:cs="Arial"/>
              </w:rPr>
            </w:pPr>
            <w:r w:rsidRPr="00495DAD">
              <w:rPr>
                <w:rFonts w:cs="Arial"/>
              </w:rPr>
              <w:t>25.1</w:t>
            </w:r>
          </w:p>
          <w:p w14:paraId="7B3F8B56" w14:textId="77777777" w:rsidR="00286C36" w:rsidRPr="00495DAD" w:rsidRDefault="00286C36" w:rsidP="00C84812">
            <w:pPr>
              <w:jc w:val="left"/>
              <w:rPr>
                <w:rFonts w:cs="Arial"/>
              </w:rPr>
            </w:pPr>
            <w:r w:rsidRPr="00495DAD">
              <w:rPr>
                <w:rFonts w:cs="Arial"/>
              </w:rPr>
              <w:t>17.6</w:t>
            </w:r>
          </w:p>
          <w:p w14:paraId="4FD16524" w14:textId="77777777" w:rsidR="00286C36" w:rsidRPr="00495DAD" w:rsidRDefault="00286C36" w:rsidP="00C84812">
            <w:pPr>
              <w:jc w:val="left"/>
              <w:rPr>
                <w:rFonts w:cs="Arial"/>
              </w:rPr>
            </w:pPr>
            <w:r w:rsidRPr="00495DAD">
              <w:rPr>
                <w:rFonts w:cs="Arial"/>
              </w:rPr>
              <w:t>5.3</w:t>
            </w:r>
          </w:p>
        </w:tc>
        <w:tc>
          <w:tcPr>
            <w:tcW w:w="3321" w:type="dxa"/>
          </w:tcPr>
          <w:p w14:paraId="2F21FC82" w14:textId="77777777" w:rsidR="00286C36" w:rsidRPr="00495DAD" w:rsidRDefault="00286C36" w:rsidP="00C84812">
            <w:pPr>
              <w:jc w:val="left"/>
              <w:rPr>
                <w:rFonts w:cs="Arial"/>
              </w:rPr>
            </w:pPr>
          </w:p>
          <w:p w14:paraId="45E0C651" w14:textId="77777777" w:rsidR="00286C36" w:rsidRPr="00495DAD" w:rsidRDefault="00286C36" w:rsidP="00C84812">
            <w:pPr>
              <w:jc w:val="left"/>
              <w:rPr>
                <w:rFonts w:cs="Arial"/>
              </w:rPr>
            </w:pPr>
            <w:r w:rsidRPr="00495DAD">
              <w:rPr>
                <w:rFonts w:cs="Arial"/>
              </w:rPr>
              <w:t>0.7</w:t>
            </w:r>
          </w:p>
          <w:p w14:paraId="5B24E904" w14:textId="77777777" w:rsidR="00286C36" w:rsidRPr="00495DAD" w:rsidRDefault="00286C36" w:rsidP="00C84812">
            <w:pPr>
              <w:jc w:val="left"/>
              <w:rPr>
                <w:rFonts w:cs="Arial"/>
              </w:rPr>
            </w:pPr>
            <w:r w:rsidRPr="00495DAD">
              <w:rPr>
                <w:rFonts w:cs="Arial"/>
              </w:rPr>
              <w:t>3.1</w:t>
            </w:r>
          </w:p>
          <w:p w14:paraId="320C2542" w14:textId="77777777" w:rsidR="00286C36" w:rsidRPr="00495DAD" w:rsidRDefault="00286C36" w:rsidP="00C84812">
            <w:pPr>
              <w:jc w:val="left"/>
              <w:rPr>
                <w:rFonts w:cs="Arial"/>
              </w:rPr>
            </w:pPr>
            <w:r w:rsidRPr="00495DAD">
              <w:rPr>
                <w:rFonts w:cs="Arial"/>
              </w:rPr>
              <w:t>15.1</w:t>
            </w:r>
          </w:p>
          <w:p w14:paraId="16FE108C" w14:textId="77777777" w:rsidR="00286C36" w:rsidRPr="00495DAD" w:rsidRDefault="00286C36" w:rsidP="00C84812">
            <w:pPr>
              <w:jc w:val="left"/>
              <w:rPr>
                <w:rFonts w:cs="Arial"/>
              </w:rPr>
            </w:pPr>
            <w:r w:rsidRPr="00495DAD">
              <w:rPr>
                <w:rFonts w:cs="Arial"/>
              </w:rPr>
              <w:t>28.2</w:t>
            </w:r>
          </w:p>
          <w:p w14:paraId="2BCD8DD9" w14:textId="77777777" w:rsidR="00286C36" w:rsidRPr="00495DAD" w:rsidRDefault="00286C36" w:rsidP="00C84812">
            <w:pPr>
              <w:jc w:val="left"/>
              <w:rPr>
                <w:rFonts w:cs="Arial"/>
              </w:rPr>
            </w:pPr>
            <w:r w:rsidRPr="00495DAD">
              <w:rPr>
                <w:rFonts w:cs="Arial"/>
              </w:rPr>
              <w:t>25.1</w:t>
            </w:r>
          </w:p>
          <w:p w14:paraId="07C78026" w14:textId="77777777" w:rsidR="00286C36" w:rsidRPr="00495DAD" w:rsidRDefault="00286C36" w:rsidP="00C84812">
            <w:pPr>
              <w:jc w:val="left"/>
              <w:rPr>
                <w:rFonts w:cs="Arial"/>
              </w:rPr>
            </w:pPr>
            <w:r w:rsidRPr="00495DAD">
              <w:rPr>
                <w:rFonts w:cs="Arial"/>
              </w:rPr>
              <w:t>20.3</w:t>
            </w:r>
          </w:p>
          <w:p w14:paraId="0B8BDBC5" w14:textId="77777777" w:rsidR="00286C36" w:rsidRPr="00495DAD" w:rsidRDefault="00286C36" w:rsidP="00C84812">
            <w:pPr>
              <w:jc w:val="left"/>
              <w:rPr>
                <w:rFonts w:cs="Arial"/>
              </w:rPr>
            </w:pPr>
            <w:r w:rsidRPr="00495DAD">
              <w:rPr>
                <w:rFonts w:cs="Arial"/>
              </w:rPr>
              <w:t>7.6</w:t>
            </w:r>
          </w:p>
        </w:tc>
      </w:tr>
    </w:tbl>
    <w:p w14:paraId="3AF7E8D1" w14:textId="132144E2" w:rsidR="00286C36" w:rsidRPr="00286C36" w:rsidRDefault="00286C36" w:rsidP="00C84812">
      <w:pPr>
        <w:spacing w:before="480"/>
        <w:jc w:val="left"/>
        <w:rPr>
          <w:u w:val="single"/>
        </w:rPr>
      </w:pPr>
      <w:r w:rsidRPr="00286C36">
        <w:rPr>
          <w:u w:val="single"/>
        </w:rPr>
        <w:t xml:space="preserve">Location of </w:t>
      </w:r>
      <w:r w:rsidR="00985800">
        <w:rPr>
          <w:u w:val="single"/>
        </w:rPr>
        <w:t>s</w:t>
      </w:r>
      <w:r w:rsidRPr="00286C36">
        <w:rPr>
          <w:u w:val="single"/>
        </w:rPr>
        <w:t xml:space="preserve">ervices </w:t>
      </w:r>
      <w:r w:rsidR="00985800">
        <w:rPr>
          <w:u w:val="single"/>
        </w:rPr>
        <w:t>p</w:t>
      </w:r>
      <w:r w:rsidRPr="00286C36">
        <w:rPr>
          <w:u w:val="single"/>
        </w:rPr>
        <w:t>rovided</w:t>
      </w:r>
    </w:p>
    <w:p w14:paraId="53AB680A" w14:textId="77777777" w:rsidR="00286C36" w:rsidRPr="00495DAD" w:rsidRDefault="00286C36" w:rsidP="00286C36">
      <w:pPr>
        <w:spacing w:after="360"/>
        <w:jc w:val="left"/>
        <w:rPr>
          <w:rFonts w:cs="Arial"/>
        </w:rPr>
      </w:pPr>
      <w:proofErr w:type="gramStart"/>
      <w:r w:rsidRPr="00495DAD">
        <w:rPr>
          <w:rFonts w:cs="Arial"/>
        </w:rPr>
        <w:t>The majority of</w:t>
      </w:r>
      <w:proofErr w:type="gramEnd"/>
      <w:r w:rsidRPr="00495DAD">
        <w:rPr>
          <w:rFonts w:cs="Arial"/>
        </w:rPr>
        <w:t xml:space="preserve"> services for November to December 2015 and January to March 2016 were provided by the Melbourne Metropolitan IMHA staff (40.3%, 50.2%), followed by Bendigo (29%, 24.1%), Dandenong (13%, 17%), and Geelong (17.3%, 8%).</w:t>
      </w:r>
    </w:p>
    <w:p w14:paraId="2C8EA388" w14:textId="77777777" w:rsidR="00200979" w:rsidRDefault="00200979">
      <w:pPr>
        <w:spacing w:after="0" w:line="240" w:lineRule="auto"/>
        <w:jc w:val="left"/>
        <w:rPr>
          <w:u w:val="single"/>
        </w:rPr>
      </w:pPr>
      <w:r>
        <w:rPr>
          <w:u w:val="single"/>
        </w:rPr>
        <w:br w:type="page"/>
      </w:r>
    </w:p>
    <w:p w14:paraId="5E650053" w14:textId="5EEC5BE7" w:rsidR="00286C36" w:rsidRPr="00286C36" w:rsidRDefault="00286C36" w:rsidP="00C84812">
      <w:pPr>
        <w:jc w:val="left"/>
        <w:rPr>
          <w:u w:val="single"/>
        </w:rPr>
      </w:pPr>
      <w:r w:rsidRPr="00286C36">
        <w:rPr>
          <w:u w:val="single"/>
        </w:rPr>
        <w:lastRenderedPageBreak/>
        <w:t>Referrals</w:t>
      </w:r>
      <w:r>
        <w:rPr>
          <w:u w:val="single"/>
        </w:rPr>
        <w:t>:</w:t>
      </w:r>
    </w:p>
    <w:p w14:paraId="5B702495" w14:textId="78549D5B" w:rsidR="00AB0091" w:rsidRPr="004C21EC" w:rsidRDefault="00286C36" w:rsidP="00C84812">
      <w:pPr>
        <w:jc w:val="left"/>
        <w:rPr>
          <w:rFonts w:cs="Arial"/>
        </w:rPr>
      </w:pPr>
      <w:r w:rsidRPr="00495DAD">
        <w:rPr>
          <w:rFonts w:cs="Arial"/>
        </w:rPr>
        <w:t>The three most frequent sources of referral to IMHA and referral made by IMHA were as follows:</w:t>
      </w:r>
    </w:p>
    <w:p w14:paraId="14ECFFB8" w14:textId="3C00F098" w:rsidR="00F74973" w:rsidRDefault="00F74973" w:rsidP="00C84812">
      <w:pPr>
        <w:pStyle w:val="Caption"/>
        <w:keepNext/>
        <w:jc w:val="left"/>
      </w:pPr>
      <w:r>
        <w:t xml:space="preserve">Table </w:t>
      </w:r>
      <w:r w:rsidR="008A3C5C">
        <w:rPr>
          <w:noProof/>
        </w:rPr>
        <w:fldChar w:fldCharType="begin"/>
      </w:r>
      <w:r w:rsidR="008A3C5C">
        <w:rPr>
          <w:noProof/>
        </w:rPr>
        <w:instrText xml:space="preserve"> SEQ Table \* ARABIC </w:instrText>
      </w:r>
      <w:r w:rsidR="008A3C5C">
        <w:rPr>
          <w:noProof/>
        </w:rPr>
        <w:fldChar w:fldCharType="separate"/>
      </w:r>
      <w:r>
        <w:rPr>
          <w:noProof/>
        </w:rPr>
        <w:t>3</w:t>
      </w:r>
      <w:r w:rsidR="008A3C5C">
        <w:rPr>
          <w:noProof/>
        </w:rPr>
        <w:fldChar w:fldCharType="end"/>
      </w:r>
      <w:r w:rsidRPr="00C34BF5">
        <w:t xml:space="preserve">: This table displays </w:t>
      </w:r>
      <w:r>
        <w:t>referrals made by services such as Victoria Legal Aid, Mental Health Services and self-referrals to IMHA for the periods of November to December 2015 and January to March 2016.</w:t>
      </w:r>
    </w:p>
    <w:tbl>
      <w:tblPr>
        <w:tblStyle w:val="TableGrid"/>
        <w:tblW w:w="0" w:type="auto"/>
        <w:tblLook w:val="04A0" w:firstRow="1" w:lastRow="0" w:firstColumn="1" w:lastColumn="0" w:noHBand="0" w:noVBand="1"/>
      </w:tblPr>
      <w:tblGrid>
        <w:gridCol w:w="3358"/>
        <w:gridCol w:w="3359"/>
        <w:gridCol w:w="3359"/>
      </w:tblGrid>
      <w:tr w:rsidR="00AB0091" w14:paraId="40105D86" w14:textId="77777777" w:rsidTr="004C21EC">
        <w:trPr>
          <w:cantSplit/>
        </w:trPr>
        <w:tc>
          <w:tcPr>
            <w:tcW w:w="3358" w:type="dxa"/>
          </w:tcPr>
          <w:p w14:paraId="14A7576E" w14:textId="6312FFB1" w:rsidR="00AB0091" w:rsidRPr="00AB0091" w:rsidRDefault="00AB0091" w:rsidP="00C84812">
            <w:pPr>
              <w:jc w:val="left"/>
              <w:rPr>
                <w:b/>
              </w:rPr>
            </w:pPr>
            <w:r w:rsidRPr="00AB0091">
              <w:rPr>
                <w:b/>
              </w:rPr>
              <w:t xml:space="preserve">Source of Referrals </w:t>
            </w:r>
          </w:p>
        </w:tc>
        <w:tc>
          <w:tcPr>
            <w:tcW w:w="3359" w:type="dxa"/>
          </w:tcPr>
          <w:p w14:paraId="72D1C5F0" w14:textId="2A1D1B94" w:rsidR="00AB0091" w:rsidRPr="00AB0091" w:rsidRDefault="00AB0091" w:rsidP="00C84812">
            <w:pPr>
              <w:jc w:val="left"/>
              <w:rPr>
                <w:b/>
              </w:rPr>
            </w:pPr>
            <w:r w:rsidRPr="00AB0091">
              <w:rPr>
                <w:b/>
              </w:rPr>
              <w:t xml:space="preserve">November – December </w:t>
            </w:r>
          </w:p>
        </w:tc>
        <w:tc>
          <w:tcPr>
            <w:tcW w:w="3359" w:type="dxa"/>
          </w:tcPr>
          <w:p w14:paraId="74A3841E" w14:textId="6D5E7A47" w:rsidR="00AB0091" w:rsidRPr="00AB0091" w:rsidRDefault="00AB0091" w:rsidP="00C84812">
            <w:pPr>
              <w:jc w:val="left"/>
              <w:rPr>
                <w:b/>
              </w:rPr>
            </w:pPr>
            <w:r w:rsidRPr="00AB0091">
              <w:rPr>
                <w:b/>
              </w:rPr>
              <w:t xml:space="preserve">January – March </w:t>
            </w:r>
          </w:p>
        </w:tc>
      </w:tr>
      <w:tr w:rsidR="00AB0091" w14:paraId="7AABC2DA" w14:textId="77777777" w:rsidTr="004C21EC">
        <w:trPr>
          <w:cantSplit/>
        </w:trPr>
        <w:tc>
          <w:tcPr>
            <w:tcW w:w="3358" w:type="dxa"/>
          </w:tcPr>
          <w:p w14:paraId="4EE0A370" w14:textId="226A9470" w:rsidR="00AB0091" w:rsidRDefault="00AB0091" w:rsidP="00C84812">
            <w:pPr>
              <w:jc w:val="left"/>
            </w:pPr>
            <w:r>
              <w:t>Self-referral</w:t>
            </w:r>
          </w:p>
        </w:tc>
        <w:tc>
          <w:tcPr>
            <w:tcW w:w="3359" w:type="dxa"/>
          </w:tcPr>
          <w:p w14:paraId="1AEADDA6" w14:textId="7FB27E91" w:rsidR="00AB0091" w:rsidRDefault="00AB0091" w:rsidP="00C84812">
            <w:pPr>
              <w:jc w:val="left"/>
            </w:pPr>
            <w:r>
              <w:t>55.2%</w:t>
            </w:r>
          </w:p>
        </w:tc>
        <w:tc>
          <w:tcPr>
            <w:tcW w:w="3359" w:type="dxa"/>
          </w:tcPr>
          <w:p w14:paraId="3F45FA9A" w14:textId="290ABDEA" w:rsidR="00AB0091" w:rsidRDefault="00AB0091" w:rsidP="00C84812">
            <w:pPr>
              <w:jc w:val="left"/>
            </w:pPr>
            <w:r>
              <w:t>62.3%</w:t>
            </w:r>
          </w:p>
        </w:tc>
      </w:tr>
      <w:tr w:rsidR="00AB0091" w14:paraId="145EA8D1" w14:textId="77777777" w:rsidTr="004C21EC">
        <w:trPr>
          <w:cantSplit/>
        </w:trPr>
        <w:tc>
          <w:tcPr>
            <w:tcW w:w="3358" w:type="dxa"/>
          </w:tcPr>
          <w:p w14:paraId="2A5F2E64" w14:textId="54662033" w:rsidR="00AB0091" w:rsidRDefault="00AB0091" w:rsidP="00C84812">
            <w:pPr>
              <w:jc w:val="left"/>
            </w:pPr>
            <w:r>
              <w:t xml:space="preserve">Victoria Legal Aid </w:t>
            </w:r>
          </w:p>
        </w:tc>
        <w:tc>
          <w:tcPr>
            <w:tcW w:w="3359" w:type="dxa"/>
          </w:tcPr>
          <w:p w14:paraId="20837C49" w14:textId="753AC48D" w:rsidR="00AB0091" w:rsidRDefault="00AB0091" w:rsidP="00C84812">
            <w:pPr>
              <w:jc w:val="left"/>
            </w:pPr>
            <w:r>
              <w:t>18.6%</w:t>
            </w:r>
          </w:p>
        </w:tc>
        <w:tc>
          <w:tcPr>
            <w:tcW w:w="3359" w:type="dxa"/>
          </w:tcPr>
          <w:p w14:paraId="6F43BAB5" w14:textId="75525F76" w:rsidR="00AB0091" w:rsidRDefault="00AB0091" w:rsidP="00C84812">
            <w:pPr>
              <w:jc w:val="left"/>
            </w:pPr>
            <w:r>
              <w:t>9.8%</w:t>
            </w:r>
          </w:p>
        </w:tc>
      </w:tr>
      <w:tr w:rsidR="00AB0091" w14:paraId="6702D7E7" w14:textId="77777777" w:rsidTr="004C21EC">
        <w:trPr>
          <w:cantSplit/>
        </w:trPr>
        <w:tc>
          <w:tcPr>
            <w:tcW w:w="3358" w:type="dxa"/>
          </w:tcPr>
          <w:p w14:paraId="0E7F2588" w14:textId="56FF4612" w:rsidR="00AB0091" w:rsidRDefault="00AB0091" w:rsidP="00C84812">
            <w:pPr>
              <w:jc w:val="left"/>
            </w:pPr>
            <w:r>
              <w:t xml:space="preserve">Mental Health Services </w:t>
            </w:r>
          </w:p>
        </w:tc>
        <w:tc>
          <w:tcPr>
            <w:tcW w:w="3359" w:type="dxa"/>
          </w:tcPr>
          <w:p w14:paraId="3ECF9073" w14:textId="5C00ACA5" w:rsidR="00AB0091" w:rsidRDefault="00AB0091" w:rsidP="00C84812">
            <w:pPr>
              <w:jc w:val="left"/>
            </w:pPr>
            <w:r>
              <w:t>5.8%</w:t>
            </w:r>
          </w:p>
        </w:tc>
        <w:tc>
          <w:tcPr>
            <w:tcW w:w="3359" w:type="dxa"/>
          </w:tcPr>
          <w:p w14:paraId="3BE54E8A" w14:textId="1D129928" w:rsidR="00AB0091" w:rsidRDefault="00AB0091" w:rsidP="00C84812">
            <w:pPr>
              <w:jc w:val="left"/>
            </w:pPr>
            <w:r>
              <w:t>11.1%</w:t>
            </w:r>
          </w:p>
        </w:tc>
      </w:tr>
    </w:tbl>
    <w:p w14:paraId="2460F513" w14:textId="1EFCD40A" w:rsidR="00AB0091" w:rsidRDefault="00AB0091" w:rsidP="00C84812">
      <w:pPr>
        <w:spacing w:before="240" w:after="240"/>
        <w:jc w:val="left"/>
      </w:pPr>
    </w:p>
    <w:p w14:paraId="7472D2D7" w14:textId="269F9ABD" w:rsidR="00F74973" w:rsidRDefault="00F74973" w:rsidP="00C84812">
      <w:pPr>
        <w:pStyle w:val="Caption"/>
        <w:keepNext/>
        <w:jc w:val="left"/>
      </w:pPr>
      <w:r>
        <w:t xml:space="preserve">Table </w:t>
      </w:r>
      <w:r w:rsidR="008A3C5C">
        <w:rPr>
          <w:noProof/>
        </w:rPr>
        <w:fldChar w:fldCharType="begin"/>
      </w:r>
      <w:r w:rsidR="008A3C5C">
        <w:rPr>
          <w:noProof/>
        </w:rPr>
        <w:instrText xml:space="preserve"> SEQ Table \* ARABIC </w:instrText>
      </w:r>
      <w:r w:rsidR="008A3C5C">
        <w:rPr>
          <w:noProof/>
        </w:rPr>
        <w:fldChar w:fldCharType="separate"/>
      </w:r>
      <w:r>
        <w:rPr>
          <w:noProof/>
        </w:rPr>
        <w:t>4</w:t>
      </w:r>
      <w:r w:rsidR="008A3C5C">
        <w:rPr>
          <w:noProof/>
        </w:rPr>
        <w:fldChar w:fldCharType="end"/>
      </w:r>
      <w:r>
        <w:t>: This table shows referrals made by IMHA to other services including Victoria Legal Aid, Mental Health Complaints Commission and Mental Health Services.</w:t>
      </w:r>
    </w:p>
    <w:tbl>
      <w:tblPr>
        <w:tblStyle w:val="TableGrid"/>
        <w:tblW w:w="0" w:type="auto"/>
        <w:tblLook w:val="04A0" w:firstRow="1" w:lastRow="0" w:firstColumn="1" w:lastColumn="0" w:noHBand="0" w:noVBand="1"/>
      </w:tblPr>
      <w:tblGrid>
        <w:gridCol w:w="3358"/>
        <w:gridCol w:w="3359"/>
        <w:gridCol w:w="3359"/>
      </w:tblGrid>
      <w:tr w:rsidR="004C21EC" w14:paraId="7B96ECF8" w14:textId="77777777" w:rsidTr="00200979">
        <w:trPr>
          <w:cantSplit/>
        </w:trPr>
        <w:tc>
          <w:tcPr>
            <w:tcW w:w="3358" w:type="dxa"/>
          </w:tcPr>
          <w:p w14:paraId="4F7FBAC0" w14:textId="75DCDBF8" w:rsidR="004C21EC" w:rsidRPr="004C21EC" w:rsidRDefault="004C21EC" w:rsidP="00C84812">
            <w:pPr>
              <w:jc w:val="left"/>
              <w:rPr>
                <w:b/>
              </w:rPr>
            </w:pPr>
            <w:r w:rsidRPr="004C21EC">
              <w:rPr>
                <w:b/>
              </w:rPr>
              <w:t xml:space="preserve">Source of Referrals </w:t>
            </w:r>
          </w:p>
        </w:tc>
        <w:tc>
          <w:tcPr>
            <w:tcW w:w="3359" w:type="dxa"/>
          </w:tcPr>
          <w:p w14:paraId="722C4524" w14:textId="595C8E4F" w:rsidR="004C21EC" w:rsidRPr="004C21EC" w:rsidRDefault="004C21EC" w:rsidP="00C84812">
            <w:pPr>
              <w:jc w:val="left"/>
              <w:rPr>
                <w:b/>
              </w:rPr>
            </w:pPr>
            <w:r w:rsidRPr="004C21EC">
              <w:rPr>
                <w:b/>
              </w:rPr>
              <w:t xml:space="preserve">November – December </w:t>
            </w:r>
          </w:p>
        </w:tc>
        <w:tc>
          <w:tcPr>
            <w:tcW w:w="3359" w:type="dxa"/>
          </w:tcPr>
          <w:p w14:paraId="27657DC6" w14:textId="6501235D" w:rsidR="004C21EC" w:rsidRPr="004C21EC" w:rsidRDefault="004C21EC" w:rsidP="00C84812">
            <w:pPr>
              <w:jc w:val="left"/>
              <w:rPr>
                <w:b/>
              </w:rPr>
            </w:pPr>
            <w:r w:rsidRPr="004C21EC">
              <w:rPr>
                <w:b/>
              </w:rPr>
              <w:t xml:space="preserve">January – March </w:t>
            </w:r>
          </w:p>
        </w:tc>
      </w:tr>
      <w:tr w:rsidR="004C21EC" w14:paraId="3137239B" w14:textId="77777777" w:rsidTr="00200979">
        <w:trPr>
          <w:cantSplit/>
        </w:trPr>
        <w:tc>
          <w:tcPr>
            <w:tcW w:w="3358" w:type="dxa"/>
          </w:tcPr>
          <w:p w14:paraId="680DD057" w14:textId="2AF9B516" w:rsidR="004C21EC" w:rsidRDefault="004C21EC" w:rsidP="00C84812">
            <w:pPr>
              <w:jc w:val="left"/>
            </w:pPr>
            <w:r>
              <w:t xml:space="preserve">Victoria Legal Aid </w:t>
            </w:r>
          </w:p>
        </w:tc>
        <w:tc>
          <w:tcPr>
            <w:tcW w:w="3359" w:type="dxa"/>
          </w:tcPr>
          <w:p w14:paraId="74FE8952" w14:textId="4F702FD3" w:rsidR="004C21EC" w:rsidRDefault="004C21EC" w:rsidP="00C84812">
            <w:pPr>
              <w:jc w:val="left"/>
            </w:pPr>
            <w:r>
              <w:t>24.8%</w:t>
            </w:r>
          </w:p>
        </w:tc>
        <w:tc>
          <w:tcPr>
            <w:tcW w:w="3359" w:type="dxa"/>
          </w:tcPr>
          <w:p w14:paraId="63E70852" w14:textId="4B210774" w:rsidR="004C21EC" w:rsidRDefault="004C21EC" w:rsidP="00C84812">
            <w:pPr>
              <w:jc w:val="left"/>
            </w:pPr>
            <w:r>
              <w:t>23.2%</w:t>
            </w:r>
          </w:p>
        </w:tc>
      </w:tr>
      <w:tr w:rsidR="004C21EC" w14:paraId="199FCA38" w14:textId="77777777" w:rsidTr="00200979">
        <w:trPr>
          <w:cantSplit/>
        </w:trPr>
        <w:tc>
          <w:tcPr>
            <w:tcW w:w="3358" w:type="dxa"/>
          </w:tcPr>
          <w:p w14:paraId="2B5DC7C7" w14:textId="213DF721" w:rsidR="004C21EC" w:rsidRDefault="004C21EC" w:rsidP="00C84812">
            <w:pPr>
              <w:jc w:val="left"/>
            </w:pPr>
            <w:r>
              <w:t>Mental Health Complaints Commission</w:t>
            </w:r>
          </w:p>
        </w:tc>
        <w:tc>
          <w:tcPr>
            <w:tcW w:w="3359" w:type="dxa"/>
          </w:tcPr>
          <w:p w14:paraId="47C5E84C" w14:textId="108E844B" w:rsidR="004C21EC" w:rsidRDefault="004C21EC" w:rsidP="00C84812">
            <w:pPr>
              <w:jc w:val="left"/>
            </w:pPr>
            <w:r>
              <w:t>5.4%</w:t>
            </w:r>
          </w:p>
        </w:tc>
        <w:tc>
          <w:tcPr>
            <w:tcW w:w="3359" w:type="dxa"/>
          </w:tcPr>
          <w:p w14:paraId="0E6D7EA2" w14:textId="2B1AD590" w:rsidR="004C21EC" w:rsidRDefault="004C21EC" w:rsidP="00C84812">
            <w:pPr>
              <w:jc w:val="left"/>
            </w:pPr>
            <w:r>
              <w:t>7.1%</w:t>
            </w:r>
          </w:p>
        </w:tc>
      </w:tr>
      <w:tr w:rsidR="004C21EC" w14:paraId="51912BFC" w14:textId="77777777" w:rsidTr="00200979">
        <w:trPr>
          <w:cantSplit/>
        </w:trPr>
        <w:tc>
          <w:tcPr>
            <w:tcW w:w="3358" w:type="dxa"/>
          </w:tcPr>
          <w:p w14:paraId="221D971E" w14:textId="3CCE7554" w:rsidR="004C21EC" w:rsidRDefault="004C21EC" w:rsidP="00C84812">
            <w:pPr>
              <w:jc w:val="left"/>
            </w:pPr>
            <w:r>
              <w:t xml:space="preserve">Mental Health Services </w:t>
            </w:r>
          </w:p>
        </w:tc>
        <w:tc>
          <w:tcPr>
            <w:tcW w:w="3359" w:type="dxa"/>
          </w:tcPr>
          <w:p w14:paraId="643B2C65" w14:textId="28E79A17" w:rsidR="004C21EC" w:rsidRDefault="004C21EC" w:rsidP="00C84812">
            <w:pPr>
              <w:jc w:val="left"/>
            </w:pPr>
            <w:r>
              <w:t>2.1%</w:t>
            </w:r>
          </w:p>
        </w:tc>
        <w:tc>
          <w:tcPr>
            <w:tcW w:w="3359" w:type="dxa"/>
          </w:tcPr>
          <w:p w14:paraId="4D22F801" w14:textId="3341A49B" w:rsidR="004C21EC" w:rsidRDefault="004C21EC" w:rsidP="00C84812">
            <w:pPr>
              <w:jc w:val="left"/>
            </w:pPr>
            <w:r>
              <w:t>5.3%</w:t>
            </w:r>
          </w:p>
        </w:tc>
      </w:tr>
    </w:tbl>
    <w:p w14:paraId="322884F2" w14:textId="039DE53E" w:rsidR="00286C36" w:rsidRPr="00D21EE8" w:rsidRDefault="00286C36" w:rsidP="001616CA">
      <w:pPr>
        <w:pStyle w:val="Heading5"/>
      </w:pPr>
      <w:r w:rsidRPr="00D21EE8">
        <w:t xml:space="preserve">Outpost </w:t>
      </w:r>
      <w:r w:rsidR="00985800">
        <w:t>e</w:t>
      </w:r>
      <w:r w:rsidRPr="00D21EE8">
        <w:t>stablishment</w:t>
      </w:r>
    </w:p>
    <w:p w14:paraId="20519EFC" w14:textId="579A6A79" w:rsidR="00286C36" w:rsidRDefault="00286C36" w:rsidP="00C84812">
      <w:pPr>
        <w:jc w:val="left"/>
        <w:rPr>
          <w:rFonts w:cs="Arial"/>
        </w:rPr>
      </w:pPr>
      <w:r>
        <w:rPr>
          <w:rFonts w:cs="Arial"/>
        </w:rPr>
        <w:t xml:space="preserve">As of </w:t>
      </w:r>
      <w:r w:rsidR="00AA6C2C">
        <w:rPr>
          <w:rFonts w:cs="Arial"/>
        </w:rPr>
        <w:t xml:space="preserve">March 2016, </w:t>
      </w:r>
      <w:r w:rsidR="00AA6C2C" w:rsidRPr="00136756">
        <w:rPr>
          <w:rFonts w:cs="Arial"/>
        </w:rPr>
        <w:t>IMHA</w:t>
      </w:r>
      <w:r w:rsidRPr="00136756">
        <w:rPr>
          <w:rFonts w:cs="Arial"/>
        </w:rPr>
        <w:t xml:space="preserve"> </w:t>
      </w:r>
      <w:r>
        <w:rPr>
          <w:rFonts w:cs="Arial"/>
        </w:rPr>
        <w:t xml:space="preserve">has thirty-three outposts across the state. </w:t>
      </w:r>
      <w:r w:rsidRPr="00136756">
        <w:rPr>
          <w:rFonts w:cs="Arial"/>
        </w:rPr>
        <w:t xml:space="preserve">Outposts set up </w:t>
      </w:r>
      <w:proofErr w:type="gramStart"/>
      <w:r w:rsidRPr="00136756">
        <w:rPr>
          <w:rFonts w:cs="Arial"/>
        </w:rPr>
        <w:t>are located in</w:t>
      </w:r>
      <w:proofErr w:type="gramEnd"/>
      <w:r w:rsidRPr="00136756">
        <w:rPr>
          <w:rFonts w:cs="Arial"/>
        </w:rPr>
        <w:t xml:space="preserve"> the following </w:t>
      </w:r>
      <w:r>
        <w:rPr>
          <w:rFonts w:cs="Arial"/>
        </w:rPr>
        <w:t xml:space="preserve">sixteen designated </w:t>
      </w:r>
      <w:r w:rsidRPr="00136756">
        <w:rPr>
          <w:rFonts w:cs="Arial"/>
        </w:rPr>
        <w:t>Mental Health Services</w:t>
      </w:r>
      <w:r>
        <w:rPr>
          <w:rFonts w:cs="Arial"/>
        </w:rPr>
        <w:t>.</w:t>
      </w:r>
      <w:r>
        <w:rPr>
          <w:rStyle w:val="FootnoteReference"/>
          <w:rFonts w:cs="Arial"/>
        </w:rPr>
        <w:footnoteReference w:id="1"/>
      </w:r>
      <w:r w:rsidRPr="00136756">
        <w:rPr>
          <w:rFonts w:cs="Arial"/>
        </w:rPr>
        <w:t>.</w:t>
      </w:r>
      <w:r>
        <w:rPr>
          <w:rFonts w:cs="Arial"/>
        </w:rPr>
        <w:t xml:space="preserve"> Outposts are based at adult, aged and youth inpatient units as well as SECUs, Eating Disorder Units and Community Clinics. Whilst advocates provide outposts they are also attending mental health services outside these outposts to respond to consumers as required.</w:t>
      </w:r>
    </w:p>
    <w:p w14:paraId="764CF885" w14:textId="2B31A28C" w:rsidR="00286C36" w:rsidRPr="00136756" w:rsidRDefault="00286C36" w:rsidP="00C84812">
      <w:pPr>
        <w:jc w:val="left"/>
        <w:rPr>
          <w:rFonts w:cs="Arial"/>
        </w:rPr>
      </w:pPr>
      <w:r>
        <w:rPr>
          <w:rFonts w:cs="Arial"/>
        </w:rPr>
        <w:t xml:space="preserve">IMHA is also attending </w:t>
      </w:r>
      <w:proofErr w:type="spellStart"/>
      <w:r>
        <w:rPr>
          <w:rFonts w:cs="Arial"/>
        </w:rPr>
        <w:t>Forensicare</w:t>
      </w:r>
      <w:proofErr w:type="spellEnd"/>
      <w:r>
        <w:rPr>
          <w:rFonts w:cs="Arial"/>
        </w:rPr>
        <w:t xml:space="preserve"> as needed by consumers, this is usually weekly attendance at the service. IMHA will also respond to Children’s Hospital referrals as needed. IMHA is now working with services to identify how to best work with Community Clinics.</w:t>
      </w:r>
    </w:p>
    <w:p w14:paraId="4FC3A5F1" w14:textId="187653CC" w:rsidR="00286C36" w:rsidRDefault="00286C36" w:rsidP="001616CA">
      <w:pPr>
        <w:pStyle w:val="Heading6"/>
      </w:pPr>
      <w:r>
        <w:t xml:space="preserve">Consumer </w:t>
      </w:r>
      <w:r w:rsidR="00985800">
        <w:t>e</w:t>
      </w:r>
      <w:r>
        <w:t xml:space="preserve">ngagement and </w:t>
      </w:r>
      <w:r w:rsidR="00985800">
        <w:t>l</w:t>
      </w:r>
      <w:r>
        <w:t>eadership</w:t>
      </w:r>
    </w:p>
    <w:p w14:paraId="1CE79320" w14:textId="60A1F97A" w:rsidR="00286C36" w:rsidRDefault="00286C36" w:rsidP="00C84812">
      <w:pPr>
        <w:jc w:val="left"/>
        <w:rPr>
          <w:rFonts w:cs="Arial"/>
        </w:rPr>
      </w:pPr>
      <w:r w:rsidRPr="00947343">
        <w:rPr>
          <w:rFonts w:cs="Arial"/>
        </w:rPr>
        <w:lastRenderedPageBreak/>
        <w:t>IMHA has now</w:t>
      </w:r>
      <w:r>
        <w:rPr>
          <w:rFonts w:cs="Arial"/>
        </w:rPr>
        <w:t xml:space="preserve"> established VLA’s first consumer advisory group – Speaking </w:t>
      </w:r>
      <w:proofErr w:type="gramStart"/>
      <w:r>
        <w:rPr>
          <w:rFonts w:cs="Arial"/>
        </w:rPr>
        <w:t>From</w:t>
      </w:r>
      <w:proofErr w:type="gramEnd"/>
      <w:r>
        <w:rPr>
          <w:rFonts w:cs="Arial"/>
        </w:rPr>
        <w:t xml:space="preserve"> Experience (SFE). SFE has thirteen members from diverse backgrounds with lived experience of mental health issues and the mental health system. The Senior Consumer Consultant is supporting the group and they are developing a Consumer Leadership and Engagement Strategy. IMHA and MHDL management attend part of the monthly meetings.</w:t>
      </w:r>
    </w:p>
    <w:p w14:paraId="3FC6DE9E" w14:textId="0AD5E33F" w:rsidR="00286C36" w:rsidRPr="00947343" w:rsidRDefault="00286C36" w:rsidP="00C84812">
      <w:pPr>
        <w:spacing w:after="240"/>
        <w:jc w:val="left"/>
        <w:rPr>
          <w:rFonts w:cs="Arial"/>
        </w:rPr>
      </w:pPr>
      <w:r>
        <w:rPr>
          <w:rFonts w:cs="Arial"/>
        </w:rPr>
        <w:t>The VMIAC Advocate on secondment with IMHA has now completed consultation with over 50 consumers. The final report will be completed by 31 May 2016 and the recommendations will guide IMHA’s development of resources and information for consumers.</w:t>
      </w:r>
    </w:p>
    <w:p w14:paraId="4B573494" w14:textId="0B1070C7" w:rsidR="00286C36" w:rsidRPr="00D21EE8" w:rsidRDefault="00286C36" w:rsidP="001616CA">
      <w:pPr>
        <w:pStyle w:val="Heading7"/>
      </w:pPr>
      <w:r w:rsidRPr="00D21EE8">
        <w:t xml:space="preserve">Service </w:t>
      </w:r>
      <w:r w:rsidR="00985800">
        <w:t>p</w:t>
      </w:r>
      <w:r w:rsidRPr="00D21EE8">
        <w:t>romotion,</w:t>
      </w:r>
      <w:bookmarkStart w:id="0" w:name="_GoBack"/>
      <w:bookmarkEnd w:id="0"/>
      <w:r w:rsidRPr="00D21EE8">
        <w:t xml:space="preserve"> </w:t>
      </w:r>
      <w:r w:rsidR="00985800">
        <w:t>r</w:t>
      </w:r>
      <w:r w:rsidRPr="00D21EE8">
        <w:t xml:space="preserve">elationship </w:t>
      </w:r>
      <w:r w:rsidR="00985800">
        <w:t>b</w:t>
      </w:r>
      <w:r w:rsidRPr="00D21EE8">
        <w:t xml:space="preserve">uilding and </w:t>
      </w:r>
      <w:r w:rsidR="00985800">
        <w:t>r</w:t>
      </w:r>
      <w:r w:rsidRPr="00D21EE8">
        <w:t xml:space="preserve">eferral </w:t>
      </w:r>
      <w:r w:rsidR="00985800">
        <w:t>p</w:t>
      </w:r>
      <w:r w:rsidRPr="00D21EE8">
        <w:t>athways</w:t>
      </w:r>
    </w:p>
    <w:p w14:paraId="705BCF0E" w14:textId="77777777" w:rsidR="00985800" w:rsidRPr="00555D3F" w:rsidRDefault="00985800" w:rsidP="00C84812">
      <w:pPr>
        <w:jc w:val="left"/>
        <w:rPr>
          <w:rFonts w:cs="Arial"/>
        </w:rPr>
      </w:pPr>
      <w:r w:rsidRPr="00555D3F">
        <w:rPr>
          <w:rFonts w:cs="Arial"/>
        </w:rPr>
        <w:t>Service promo</w:t>
      </w:r>
      <w:r>
        <w:rPr>
          <w:rFonts w:cs="Arial"/>
        </w:rPr>
        <w:t>tion continues and includes the following activities:</w:t>
      </w:r>
    </w:p>
    <w:p w14:paraId="0D233A75" w14:textId="7A30046C" w:rsidR="00985800" w:rsidRPr="00136756" w:rsidRDefault="00985800" w:rsidP="00C84812">
      <w:pPr>
        <w:pStyle w:val="ListParagraph"/>
        <w:numPr>
          <w:ilvl w:val="0"/>
          <w:numId w:val="13"/>
        </w:numPr>
        <w:spacing w:before="120" w:after="120" w:line="259" w:lineRule="auto"/>
        <w:ind w:left="714" w:hanging="357"/>
        <w:jc w:val="left"/>
        <w:rPr>
          <w:rFonts w:cs="Arial"/>
        </w:rPr>
      </w:pPr>
      <w:r w:rsidRPr="00136756">
        <w:rPr>
          <w:rFonts w:cs="Arial"/>
        </w:rPr>
        <w:t>IMHA bulletin</w:t>
      </w:r>
      <w:r w:rsidR="0052474C">
        <w:rPr>
          <w:rFonts w:cs="Arial"/>
        </w:rPr>
        <w:t xml:space="preserve">, </w:t>
      </w:r>
      <w:r w:rsidRPr="00B1658B">
        <w:rPr>
          <w:rFonts w:cs="Arial"/>
          <w:i/>
        </w:rPr>
        <w:t>Advocacy Matters</w:t>
      </w:r>
      <w:r w:rsidR="0052474C">
        <w:rPr>
          <w:rFonts w:cs="Arial"/>
          <w:i/>
        </w:rPr>
        <w:t>,</w:t>
      </w:r>
      <w:r w:rsidRPr="00136756">
        <w:rPr>
          <w:rFonts w:cs="Arial"/>
        </w:rPr>
        <w:t xml:space="preserve"> </w:t>
      </w:r>
      <w:r>
        <w:rPr>
          <w:rFonts w:cs="Arial"/>
        </w:rPr>
        <w:t xml:space="preserve">sent </w:t>
      </w:r>
      <w:r w:rsidRPr="00136756">
        <w:rPr>
          <w:rFonts w:cs="Arial"/>
        </w:rPr>
        <w:t>to over 400 subscribers</w:t>
      </w:r>
      <w:r>
        <w:rPr>
          <w:rFonts w:cs="Arial"/>
        </w:rPr>
        <w:t>;</w:t>
      </w:r>
    </w:p>
    <w:p w14:paraId="1B866369" w14:textId="77777777" w:rsidR="00985800" w:rsidRPr="00663113" w:rsidRDefault="00985800" w:rsidP="00C84812">
      <w:pPr>
        <w:pStyle w:val="ListParagraph"/>
        <w:numPr>
          <w:ilvl w:val="0"/>
          <w:numId w:val="13"/>
        </w:numPr>
        <w:spacing w:before="120" w:after="120" w:line="259" w:lineRule="auto"/>
        <w:ind w:left="714" w:hanging="357"/>
        <w:jc w:val="left"/>
        <w:rPr>
          <w:rFonts w:cs="Arial"/>
        </w:rPr>
      </w:pPr>
      <w:r w:rsidRPr="00136756">
        <w:rPr>
          <w:rFonts w:cs="Arial"/>
        </w:rPr>
        <w:t xml:space="preserve">Write up of IMHA </w:t>
      </w:r>
      <w:r>
        <w:rPr>
          <w:rFonts w:cs="Arial"/>
        </w:rPr>
        <w:t xml:space="preserve">continues to engage with the media, for example IMHA advocate recently spoke on 3CR about IMHA services and with ABC Ballarat in relation to </w:t>
      </w:r>
      <w:r w:rsidRPr="00EE0587">
        <w:rPr>
          <w:rFonts w:cs="Arial"/>
        </w:rPr>
        <w:t>substandard conditions at Sovereign House</w:t>
      </w:r>
      <w:r w:rsidRPr="00663113">
        <w:rPr>
          <w:rFonts w:cs="Arial"/>
        </w:rPr>
        <w:t>;</w:t>
      </w:r>
    </w:p>
    <w:p w14:paraId="0DA082DF" w14:textId="77777777" w:rsidR="00985800" w:rsidRPr="00136756" w:rsidRDefault="00985800" w:rsidP="00C84812">
      <w:pPr>
        <w:pStyle w:val="ListParagraph"/>
        <w:numPr>
          <w:ilvl w:val="0"/>
          <w:numId w:val="13"/>
        </w:numPr>
        <w:spacing w:before="120" w:after="120" w:line="259" w:lineRule="auto"/>
        <w:ind w:left="714" w:hanging="357"/>
        <w:jc w:val="left"/>
        <w:rPr>
          <w:rFonts w:cs="Arial"/>
        </w:rPr>
      </w:pPr>
      <w:r>
        <w:rPr>
          <w:rFonts w:cs="Arial"/>
        </w:rPr>
        <w:t>Production and circulation of additional information for services and consumers including a fact sheet for consumers about IMHA services;</w:t>
      </w:r>
    </w:p>
    <w:p w14:paraId="61C962AD" w14:textId="77777777" w:rsidR="00985800" w:rsidRDefault="00985800" w:rsidP="00C84812">
      <w:pPr>
        <w:pStyle w:val="ListParagraph"/>
        <w:numPr>
          <w:ilvl w:val="0"/>
          <w:numId w:val="13"/>
        </w:numPr>
        <w:spacing w:before="120" w:after="120" w:line="259" w:lineRule="auto"/>
        <w:ind w:left="714" w:hanging="357"/>
        <w:jc w:val="left"/>
        <w:rPr>
          <w:rFonts w:cs="Arial"/>
        </w:rPr>
      </w:pPr>
      <w:r>
        <w:rPr>
          <w:rFonts w:cs="Arial"/>
        </w:rPr>
        <w:t>99</w:t>
      </w:r>
      <w:r w:rsidRPr="00136756">
        <w:rPr>
          <w:rFonts w:cs="Arial"/>
        </w:rPr>
        <w:t xml:space="preserve"> information sessions with </w:t>
      </w:r>
      <w:r>
        <w:rPr>
          <w:rFonts w:cs="Arial"/>
        </w:rPr>
        <w:t xml:space="preserve">1134 </w:t>
      </w:r>
      <w:r w:rsidRPr="00136756">
        <w:rPr>
          <w:rFonts w:cs="Arial"/>
        </w:rPr>
        <w:t>participants run across the state to a diverse range of services and audiences, including mental health clinicians, mental health support service staff, consumer advocates, carers, consumers, and community services.</w:t>
      </w:r>
      <w:r>
        <w:rPr>
          <w:rFonts w:cs="Arial"/>
        </w:rPr>
        <w:t xml:space="preserve"> This includes sessions on advanced statements and education session for medical trainees.</w:t>
      </w:r>
    </w:p>
    <w:p w14:paraId="05DB737F" w14:textId="77777777" w:rsidR="00985800" w:rsidRDefault="00985800" w:rsidP="00C84812">
      <w:pPr>
        <w:pStyle w:val="ListParagraph"/>
        <w:numPr>
          <w:ilvl w:val="0"/>
          <w:numId w:val="13"/>
        </w:numPr>
        <w:spacing w:before="120" w:after="120" w:line="259" w:lineRule="auto"/>
        <w:ind w:left="714" w:hanging="357"/>
        <w:jc w:val="left"/>
        <w:rPr>
          <w:rFonts w:cs="Arial"/>
        </w:rPr>
      </w:pPr>
      <w:r w:rsidRPr="00825159">
        <w:rPr>
          <w:rFonts w:cs="Arial"/>
        </w:rPr>
        <w:t xml:space="preserve">IMHA Management is meeting again with leaders in all designated mental health services to assess how outposts are working, finalise MOUs and provide feedback on themes arising from services. These meetings will occur every 6 months. </w:t>
      </w:r>
    </w:p>
    <w:p w14:paraId="34E35723" w14:textId="34823BBD" w:rsidR="00286C36" w:rsidRPr="00985800" w:rsidRDefault="00985800" w:rsidP="00C84812">
      <w:pPr>
        <w:pStyle w:val="ListParagraph"/>
        <w:numPr>
          <w:ilvl w:val="0"/>
          <w:numId w:val="13"/>
        </w:numPr>
        <w:spacing w:before="120" w:after="120" w:line="259" w:lineRule="auto"/>
        <w:ind w:left="714" w:hanging="357"/>
        <w:jc w:val="left"/>
        <w:rPr>
          <w:rFonts w:cs="Arial"/>
        </w:rPr>
      </w:pPr>
      <w:r>
        <w:rPr>
          <w:rFonts w:cs="Arial"/>
        </w:rPr>
        <w:t>IMHA is continuing to engage with organisations that represent its diverse priority groups including Aboriginal Controlled Services and ethno-specific services.</w:t>
      </w:r>
    </w:p>
    <w:sectPr w:rsidR="00286C36" w:rsidRPr="00985800" w:rsidSect="00985800">
      <w:headerReference w:type="even" r:id="rId11"/>
      <w:headerReference w:type="default" r:id="rId12"/>
      <w:footerReference w:type="even" r:id="rId13"/>
      <w:footerReference w:type="default" r:id="rId14"/>
      <w:headerReference w:type="first" r:id="rId15"/>
      <w:footerReference w:type="first" r:id="rId16"/>
      <w:pgSz w:w="11900" w:h="16840" w:code="9"/>
      <w:pgMar w:top="1348" w:right="907" w:bottom="964" w:left="907" w:header="283"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9D10" w14:textId="77777777" w:rsidR="008A3C5C" w:rsidRDefault="008A3C5C"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C2C5FD4" w14:textId="77777777" w:rsidR="008A3C5C" w:rsidRDefault="008A3C5C"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F38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F73A7E" w14:textId="77777777" w:rsidR="00BB122F" w:rsidRDefault="00BB122F" w:rsidP="008074B3">
    <w:pPr>
      <w:pStyle w:val="Footer"/>
      <w:ind w:right="360" w:firstLine="360"/>
    </w:pPr>
  </w:p>
  <w:p w14:paraId="108BDE8D"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5414D" w14:textId="44325E6D" w:rsidR="00BB122F" w:rsidRDefault="00BB122F" w:rsidP="00807EB6">
    <w:pPr>
      <w:pStyle w:val="Footer"/>
      <w:spacing w:line="240" w:lineRule="auto"/>
      <w:ind w:right="23"/>
      <w:jc w:val="center"/>
    </w:pPr>
    <w:r>
      <w:rPr>
        <w:rStyle w:val="PageNumber"/>
      </w:rPr>
      <w:fldChar w:fldCharType="begin"/>
    </w:r>
    <w:r>
      <w:rPr>
        <w:rStyle w:val="PageNumber"/>
      </w:rPr>
      <w:instrText xml:space="preserve"> PAGE </w:instrText>
    </w:r>
    <w:r>
      <w:rPr>
        <w:rStyle w:val="PageNumber"/>
      </w:rPr>
      <w:fldChar w:fldCharType="separate"/>
    </w:r>
    <w:r w:rsidR="0045534A">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22C090CD" wp14:editId="507FCEA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F2D1CA"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C6EF" w14:textId="41B8BF48" w:rsidR="00BB122F" w:rsidRPr="008636E1" w:rsidRDefault="00BB122F" w:rsidP="00807EB6">
    <w:pPr>
      <w:pStyle w:val="Footer"/>
      <w:spacing w:line="240" w:lineRule="auto"/>
      <w:ind w:right="23"/>
      <w:jc w:val="center"/>
    </w:pPr>
    <w:r>
      <w:rPr>
        <w:rStyle w:val="PageNumber"/>
      </w:rPr>
      <w:fldChar w:fldCharType="begin"/>
    </w:r>
    <w:r>
      <w:rPr>
        <w:rStyle w:val="PageNumber"/>
      </w:rPr>
      <w:instrText xml:space="preserve"> PAGE </w:instrText>
    </w:r>
    <w:r>
      <w:rPr>
        <w:rStyle w:val="PageNumber"/>
      </w:rPr>
      <w:fldChar w:fldCharType="separate"/>
    </w:r>
    <w:r w:rsidR="0045534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951120A" wp14:editId="762DD75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3864C"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" strokecolor="#c63c1b"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A35B" w14:textId="77777777" w:rsidR="008A3C5C" w:rsidRDefault="008A3C5C"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CE8B2BE" w14:textId="77777777" w:rsidR="008A3C5C" w:rsidRDefault="008A3C5C" w:rsidP="00181303">
      <w:pPr>
        <w:pStyle w:val="Header"/>
        <w:framePr w:wrap="around" w:vAnchor="text" w:hAnchor="margin" w:xAlign="right" w:y="1"/>
        <w:rPr>
          <w:rStyle w:val="PageNumber"/>
        </w:rPr>
      </w:pPr>
      <w:r w:rsidRPr="009F0AA0">
        <w:pgNum/>
      </w:r>
      <w:r w:rsidRPr="009F0AA0">
        <w:pgNum/>
      </w:r>
      <w:r w:rsidRPr="009F0AA0">
        <w:pgNum/>
      </w:r>
    </w:p>
  </w:footnote>
  <w:footnote w:id="1">
    <w:p w14:paraId="01E6F165" w14:textId="77777777" w:rsidR="00286C36" w:rsidRPr="00663113" w:rsidRDefault="00286C36" w:rsidP="00286C36">
      <w:pPr>
        <w:pStyle w:val="FootnoteText"/>
        <w:jc w:val="left"/>
        <w:rPr>
          <w:lang w:val="en-US"/>
        </w:rPr>
      </w:pPr>
      <w:r>
        <w:rPr>
          <w:rStyle w:val="FootnoteReference"/>
        </w:rPr>
        <w:footnoteRef/>
      </w:r>
      <w:r>
        <w:t xml:space="preserve"> </w:t>
      </w:r>
      <w:r w:rsidRPr="00E840C7">
        <w:t>Melbourne Health, Austin Health, Albury Wodonga Health, Monash Health, Latrobe Regional Hospital, Peninsula Health Care, Mildura Base Hospital, Ballarat Health Service, Bendigo Health, Werribee Mercy, Goulburn Valley Health, St Vincent’s Hospital, Alfred Health, Barwon Health, Eastern Health, and Southwest Health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F861"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BF8258" w14:textId="77777777" w:rsidR="00BB122F" w:rsidRDefault="00BB122F" w:rsidP="00091AFC">
    <w:pPr>
      <w:pStyle w:val="Header"/>
      <w:ind w:right="360"/>
    </w:pPr>
  </w:p>
  <w:p w14:paraId="43F85365"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DAB5" w14:textId="3B22F744" w:rsidR="00BB122F" w:rsidRPr="004523AB" w:rsidRDefault="00BB122F" w:rsidP="00EF7C5C">
    <w:pPr>
      <w:spacing w:line="240" w:lineRule="auto"/>
      <w:ind w:left="-330"/>
      <w:rPr>
        <w:rFonts w:ascii="Arial Bold" w:hAnsi="Arial Bold" w:cs="Arial"/>
        <w:color w:val="C63C1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C877" w14:textId="77777777" w:rsidR="00BB122F" w:rsidRPr="00833658" w:rsidRDefault="000C1E25" w:rsidP="000C1E25">
    <w:pPr>
      <w:rPr>
        <w:color w:val="FFFFFF" w:themeColor="background1"/>
      </w:rPr>
    </w:pPr>
    <w:r w:rsidRPr="000C1E25">
      <w:rPr>
        <w:noProof/>
        <w:lang w:eastAsia="en-AU"/>
      </w:rPr>
      <w:drawing>
        <wp:anchor distT="0" distB="0" distL="114300" distR="114300" simplePos="0" relativeHeight="251665408" behindDoc="1" locked="0" layoutInCell="1" allowOverlap="1" wp14:anchorId="5228CA9E" wp14:editId="01F1EE56">
          <wp:simplePos x="0" y="0"/>
          <wp:positionH relativeFrom="column">
            <wp:posOffset>-385445</wp:posOffset>
          </wp:positionH>
          <wp:positionV relativeFrom="paragraph">
            <wp:posOffset>-8255</wp:posOffset>
          </wp:positionV>
          <wp:extent cx="7200000" cy="10786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786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8668393" w14:textId="317C1CDC" w:rsidR="00BB122F" w:rsidRPr="00F20307" w:rsidRDefault="00BA0E39" w:rsidP="00D82005">
    <w:pPr>
      <w:pStyle w:val="IMHAPublicationdate"/>
      <w:spacing w:before="240" w:after="1200"/>
      <w:rPr>
        <w:b/>
        <w:sz w:val="22"/>
        <w:szCs w:val="22"/>
      </w:rPr>
    </w:pPr>
    <w:r>
      <w:rPr>
        <w:b/>
        <w:sz w:val="22"/>
        <w:szCs w:val="22"/>
      </w:rPr>
      <w:t>April</w:t>
    </w:r>
    <w:r w:rsidR="002322FC" w:rsidRPr="00F20307">
      <w:rPr>
        <w:b/>
        <w:sz w:val="22"/>
        <w:szCs w:val="22"/>
      </w:rPr>
      <w:t xml:space="preserve"> 201</w:t>
    </w:r>
    <w:r>
      <w:rPr>
        <w:b/>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2CC40F9E"/>
    <w:multiLevelType w:val="hybridMultilevel"/>
    <w:tmpl w:val="A6AC8614"/>
    <w:lvl w:ilvl="0" w:tplc="DC820EA6">
      <w:start w:val="1"/>
      <w:numFmt w:val="decimal"/>
      <w:pStyle w:val="Heading1Bullet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38AE3440"/>
    <w:multiLevelType w:val="hybridMultilevel"/>
    <w:tmpl w:val="56961996"/>
    <w:lvl w:ilvl="0" w:tplc="BF22323A">
      <w:start w:val="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779B59D5"/>
    <w:multiLevelType w:val="hybridMultilevel"/>
    <w:tmpl w:val="1742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1"/>
  </w:num>
  <w:num w:numId="4">
    <w:abstractNumId w:val="10"/>
  </w:num>
  <w:num w:numId="5">
    <w:abstractNumId w:val="5"/>
  </w:num>
  <w:num w:numId="6">
    <w:abstractNumId w:val="3"/>
  </w:num>
  <w:num w:numId="7">
    <w:abstractNumId w:val="2"/>
  </w:num>
  <w:num w:numId="8">
    <w:abstractNumId w:val="1"/>
  </w:num>
  <w:num w:numId="9">
    <w:abstractNumId w:val="0"/>
  </w:num>
  <w:num w:numId="10">
    <w:abstractNumId w:val="4"/>
  </w:num>
  <w:num w:numId="11">
    <w:abstractNumId w:val="6"/>
  </w:num>
  <w:num w:numId="12">
    <w:abstractNumId w:val="8"/>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313AD"/>
    <w:rsid w:val="000078CE"/>
    <w:rsid w:val="00013370"/>
    <w:rsid w:val="000360EC"/>
    <w:rsid w:val="00040F0B"/>
    <w:rsid w:val="00057FDC"/>
    <w:rsid w:val="000759A6"/>
    <w:rsid w:val="00091432"/>
    <w:rsid w:val="00091AFC"/>
    <w:rsid w:val="00094FE1"/>
    <w:rsid w:val="000966ED"/>
    <w:rsid w:val="000A1C94"/>
    <w:rsid w:val="000C1E25"/>
    <w:rsid w:val="000C6955"/>
    <w:rsid w:val="000E1BEB"/>
    <w:rsid w:val="00145E78"/>
    <w:rsid w:val="00151B7E"/>
    <w:rsid w:val="0015359B"/>
    <w:rsid w:val="00160C7E"/>
    <w:rsid w:val="001616CA"/>
    <w:rsid w:val="00181303"/>
    <w:rsid w:val="001A2999"/>
    <w:rsid w:val="001E34C3"/>
    <w:rsid w:val="00200979"/>
    <w:rsid w:val="0021722B"/>
    <w:rsid w:val="00221B4A"/>
    <w:rsid w:val="002322FC"/>
    <w:rsid w:val="00286C36"/>
    <w:rsid w:val="002B73A4"/>
    <w:rsid w:val="002C742D"/>
    <w:rsid w:val="002D2294"/>
    <w:rsid w:val="002F7860"/>
    <w:rsid w:val="00306C10"/>
    <w:rsid w:val="00310DD1"/>
    <w:rsid w:val="00315C03"/>
    <w:rsid w:val="003224F8"/>
    <w:rsid w:val="003315F4"/>
    <w:rsid w:val="00334816"/>
    <w:rsid w:val="00356D1D"/>
    <w:rsid w:val="00360994"/>
    <w:rsid w:val="003655D7"/>
    <w:rsid w:val="0037081E"/>
    <w:rsid w:val="00395B4D"/>
    <w:rsid w:val="00402557"/>
    <w:rsid w:val="00414AC0"/>
    <w:rsid w:val="004158B6"/>
    <w:rsid w:val="00427C16"/>
    <w:rsid w:val="004421BD"/>
    <w:rsid w:val="00443649"/>
    <w:rsid w:val="004523AB"/>
    <w:rsid w:val="0045534A"/>
    <w:rsid w:val="004707EF"/>
    <w:rsid w:val="004C21EC"/>
    <w:rsid w:val="004C5092"/>
    <w:rsid w:val="004C75B1"/>
    <w:rsid w:val="004D7100"/>
    <w:rsid w:val="004F2265"/>
    <w:rsid w:val="00504F13"/>
    <w:rsid w:val="00515AD0"/>
    <w:rsid w:val="0052474C"/>
    <w:rsid w:val="005317C2"/>
    <w:rsid w:val="00546C0D"/>
    <w:rsid w:val="005B1640"/>
    <w:rsid w:val="005B3D02"/>
    <w:rsid w:val="005C1DFD"/>
    <w:rsid w:val="005D19C7"/>
    <w:rsid w:val="005D4A19"/>
    <w:rsid w:val="005D5C9C"/>
    <w:rsid w:val="00614916"/>
    <w:rsid w:val="00626B79"/>
    <w:rsid w:val="0066019E"/>
    <w:rsid w:val="006764E3"/>
    <w:rsid w:val="00680746"/>
    <w:rsid w:val="006A00A7"/>
    <w:rsid w:val="006A4270"/>
    <w:rsid w:val="006A4680"/>
    <w:rsid w:val="006A6FC6"/>
    <w:rsid w:val="006B35B8"/>
    <w:rsid w:val="006B3F5E"/>
    <w:rsid w:val="006B612D"/>
    <w:rsid w:val="006B6E7E"/>
    <w:rsid w:val="006F181A"/>
    <w:rsid w:val="006F2D6F"/>
    <w:rsid w:val="00714549"/>
    <w:rsid w:val="00724661"/>
    <w:rsid w:val="00725754"/>
    <w:rsid w:val="00781FFA"/>
    <w:rsid w:val="0078739B"/>
    <w:rsid w:val="007B0612"/>
    <w:rsid w:val="007D5BA7"/>
    <w:rsid w:val="008074B3"/>
    <w:rsid w:val="00807EB6"/>
    <w:rsid w:val="0082595B"/>
    <w:rsid w:val="00833658"/>
    <w:rsid w:val="00847377"/>
    <w:rsid w:val="00847B31"/>
    <w:rsid w:val="00856DA8"/>
    <w:rsid w:val="008636E1"/>
    <w:rsid w:val="00886DB3"/>
    <w:rsid w:val="008958CB"/>
    <w:rsid w:val="00896E60"/>
    <w:rsid w:val="008A1E5F"/>
    <w:rsid w:val="008A3C5C"/>
    <w:rsid w:val="008B2419"/>
    <w:rsid w:val="008C388A"/>
    <w:rsid w:val="008F4DC6"/>
    <w:rsid w:val="0092160B"/>
    <w:rsid w:val="00940793"/>
    <w:rsid w:val="00972F6B"/>
    <w:rsid w:val="00985800"/>
    <w:rsid w:val="0099270D"/>
    <w:rsid w:val="009A74F1"/>
    <w:rsid w:val="009B0D09"/>
    <w:rsid w:val="009B59BF"/>
    <w:rsid w:val="009D539D"/>
    <w:rsid w:val="009E1AC3"/>
    <w:rsid w:val="009F0AA0"/>
    <w:rsid w:val="009F664A"/>
    <w:rsid w:val="00A01693"/>
    <w:rsid w:val="00A11120"/>
    <w:rsid w:val="00A1436F"/>
    <w:rsid w:val="00A4395A"/>
    <w:rsid w:val="00A52F29"/>
    <w:rsid w:val="00A610EC"/>
    <w:rsid w:val="00A93509"/>
    <w:rsid w:val="00AA6C2C"/>
    <w:rsid w:val="00AB0091"/>
    <w:rsid w:val="00AB5376"/>
    <w:rsid w:val="00AC3D95"/>
    <w:rsid w:val="00AD03B9"/>
    <w:rsid w:val="00B044A6"/>
    <w:rsid w:val="00B45C58"/>
    <w:rsid w:val="00B462CC"/>
    <w:rsid w:val="00B85795"/>
    <w:rsid w:val="00BA0E39"/>
    <w:rsid w:val="00BB122F"/>
    <w:rsid w:val="00BD3873"/>
    <w:rsid w:val="00BE36EB"/>
    <w:rsid w:val="00C16B80"/>
    <w:rsid w:val="00C33AEF"/>
    <w:rsid w:val="00C415B1"/>
    <w:rsid w:val="00C61CB5"/>
    <w:rsid w:val="00C62A0C"/>
    <w:rsid w:val="00C64A61"/>
    <w:rsid w:val="00C81372"/>
    <w:rsid w:val="00C84812"/>
    <w:rsid w:val="00C84D28"/>
    <w:rsid w:val="00CB48F9"/>
    <w:rsid w:val="00CB63F9"/>
    <w:rsid w:val="00CC0626"/>
    <w:rsid w:val="00CC216F"/>
    <w:rsid w:val="00CF2D05"/>
    <w:rsid w:val="00D30B8E"/>
    <w:rsid w:val="00D75C29"/>
    <w:rsid w:val="00D82005"/>
    <w:rsid w:val="00DA34F5"/>
    <w:rsid w:val="00DA53D8"/>
    <w:rsid w:val="00DB07C5"/>
    <w:rsid w:val="00DC01DC"/>
    <w:rsid w:val="00DD5EE1"/>
    <w:rsid w:val="00DE037E"/>
    <w:rsid w:val="00DE3C33"/>
    <w:rsid w:val="00E16924"/>
    <w:rsid w:val="00E62F00"/>
    <w:rsid w:val="00E865F8"/>
    <w:rsid w:val="00E92D5D"/>
    <w:rsid w:val="00E95073"/>
    <w:rsid w:val="00EF4FC5"/>
    <w:rsid w:val="00EF7C5C"/>
    <w:rsid w:val="00F0005B"/>
    <w:rsid w:val="00F14EC8"/>
    <w:rsid w:val="00F16515"/>
    <w:rsid w:val="00F20307"/>
    <w:rsid w:val="00F313AD"/>
    <w:rsid w:val="00F5756E"/>
    <w:rsid w:val="00F63972"/>
    <w:rsid w:val="00F74973"/>
    <w:rsid w:val="00F77E0F"/>
    <w:rsid w:val="00F825B6"/>
    <w:rsid w:val="00FB3760"/>
    <w:rsid w:val="00FC3D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57AAD6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286C36"/>
    <w:pPr>
      <w:spacing w:after="160" w:line="360" w:lineRule="auto"/>
      <w:jc w:val="both"/>
    </w:pPr>
    <w:rPr>
      <w:rFonts w:ascii="Arial" w:eastAsiaTheme="minorHAnsi" w:hAnsi="Arial" w:cstheme="minorBidi"/>
      <w:sz w:val="22"/>
      <w:szCs w:val="22"/>
    </w:rPr>
  </w:style>
  <w:style w:type="paragraph" w:styleId="Heading1">
    <w:name w:val="heading 1"/>
    <w:next w:val="Normal"/>
    <w:link w:val="Heading1Char"/>
    <w:uiPriority w:val="9"/>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uiPriority w:val="99"/>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uiPriority w:val="99"/>
    <w:rsid w:val="00DB07C5"/>
    <w:rPr>
      <w:rFonts w:ascii="Arial" w:hAnsi="Arial"/>
      <w:sz w:val="18"/>
      <w:vertAlign w:val="superscript"/>
    </w:rPr>
  </w:style>
  <w:style w:type="paragraph" w:styleId="FootnoteText">
    <w:name w:val="footnote text"/>
    <w:basedOn w:val="Normal"/>
    <w:link w:val="FootnoteTextChar"/>
    <w:uiPriority w:val="99"/>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qFormat/>
    <w:rsid w:val="006A4680"/>
    <w:pPr>
      <w:ind w:left="720"/>
      <w:contextualSpacing/>
    </w:pPr>
  </w:style>
  <w:style w:type="character" w:styleId="CommentReference">
    <w:name w:val="annotation reference"/>
    <w:basedOn w:val="DefaultParagraphFont"/>
    <w:semiHidden/>
    <w:unhideWhenUsed/>
    <w:rsid w:val="00FC3D7F"/>
    <w:rPr>
      <w:sz w:val="16"/>
      <w:szCs w:val="16"/>
    </w:rPr>
  </w:style>
  <w:style w:type="paragraph" w:styleId="CommentText">
    <w:name w:val="annotation text"/>
    <w:basedOn w:val="Normal"/>
    <w:link w:val="CommentTextChar"/>
    <w:semiHidden/>
    <w:unhideWhenUsed/>
    <w:rsid w:val="00FC3D7F"/>
    <w:pPr>
      <w:spacing w:line="240" w:lineRule="auto"/>
    </w:pPr>
    <w:rPr>
      <w:sz w:val="20"/>
      <w:szCs w:val="20"/>
    </w:rPr>
  </w:style>
  <w:style w:type="character" w:customStyle="1" w:styleId="CommentTextChar">
    <w:name w:val="Comment Text Char"/>
    <w:basedOn w:val="DefaultParagraphFont"/>
    <w:link w:val="CommentText"/>
    <w:semiHidden/>
    <w:rsid w:val="00FC3D7F"/>
    <w:rPr>
      <w:rFonts w:ascii="Arial" w:eastAsia="Times New Roman" w:hAnsi="Arial"/>
    </w:rPr>
  </w:style>
  <w:style w:type="paragraph" w:styleId="CommentSubject">
    <w:name w:val="annotation subject"/>
    <w:basedOn w:val="CommentText"/>
    <w:next w:val="CommentText"/>
    <w:link w:val="CommentSubjectChar"/>
    <w:semiHidden/>
    <w:unhideWhenUsed/>
    <w:rsid w:val="00FC3D7F"/>
    <w:rPr>
      <w:b/>
      <w:bCs/>
    </w:rPr>
  </w:style>
  <w:style w:type="character" w:customStyle="1" w:styleId="CommentSubjectChar">
    <w:name w:val="Comment Subject Char"/>
    <w:basedOn w:val="CommentTextChar"/>
    <w:link w:val="CommentSubject"/>
    <w:semiHidden/>
    <w:rsid w:val="00FC3D7F"/>
    <w:rPr>
      <w:rFonts w:ascii="Arial" w:eastAsia="Times New Roman" w:hAnsi="Arial"/>
      <w:b/>
      <w:bCs/>
    </w:rPr>
  </w:style>
  <w:style w:type="paragraph" w:styleId="BalloonText">
    <w:name w:val="Balloon Text"/>
    <w:basedOn w:val="Normal"/>
    <w:link w:val="BalloonTextChar"/>
    <w:semiHidden/>
    <w:unhideWhenUsed/>
    <w:rsid w:val="00FC3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3D7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56D1D"/>
    <w:rPr>
      <w:rFonts w:ascii="Arial" w:eastAsia="Times New Roman" w:hAnsi="Arial" w:cs="Arial"/>
      <w:b/>
      <w:bCs/>
      <w:color w:val="C63C1B"/>
      <w:kern w:val="32"/>
      <w:sz w:val="32"/>
      <w:szCs w:val="32"/>
      <w:lang w:eastAsia="en-AU"/>
    </w:rPr>
  </w:style>
  <w:style w:type="paragraph" w:customStyle="1" w:styleId="Heading1Bulleted">
    <w:name w:val="Heading 1 Bulleted"/>
    <w:basedOn w:val="Heading1"/>
    <w:next w:val="Normal"/>
    <w:qFormat/>
    <w:rsid w:val="00BA0E39"/>
    <w:pPr>
      <w:numPr>
        <w:numId w:val="11"/>
      </w:numPr>
      <w:tabs>
        <w:tab w:val="left" w:pos="1370"/>
      </w:tabs>
      <w:spacing w:line="259" w:lineRule="auto"/>
    </w:pPr>
    <w:rPr>
      <w:b w:val="0"/>
      <w:sz w:val="24"/>
      <w:szCs w:val="24"/>
    </w:rPr>
  </w:style>
  <w:style w:type="character" w:customStyle="1" w:styleId="FootnoteTextChar">
    <w:name w:val="Footnote Text Char"/>
    <w:basedOn w:val="DefaultParagraphFont"/>
    <w:link w:val="FootnoteText"/>
    <w:uiPriority w:val="99"/>
    <w:rsid w:val="00286C36"/>
    <w:rPr>
      <w:rFonts w:ascii="Arial" w:eastAsiaTheme="minorHAnsi" w:hAnsi="Arial" w:cstheme="minorBidi"/>
      <w:sz w:val="18"/>
    </w:rPr>
  </w:style>
  <w:style w:type="paragraph" w:styleId="Caption">
    <w:name w:val="caption"/>
    <w:basedOn w:val="Normal"/>
    <w:next w:val="Normal"/>
    <w:unhideWhenUsed/>
    <w:qFormat/>
    <w:locked/>
    <w:rsid w:val="00985800"/>
    <w:pPr>
      <w:spacing w:after="200" w:line="240" w:lineRule="auto"/>
    </w:pPr>
    <w:rPr>
      <w:i/>
      <w:iCs/>
      <w:color w:val="2B142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0CE563F8111D9B40AD48BC31ABC2E20D00A5B8577A5F418147B51706CD4565A819" ma:contentTypeVersion="9" ma:contentTypeDescription="" ma:contentTypeScope="" ma:versionID="2a35aaf8cdff8adcea68caca62d02288">
  <xsd:schema xmlns:xsd="http://www.w3.org/2001/XMLSchema" xmlns:xs="http://www.w3.org/2001/XMLSchema" xmlns:p="http://schemas.microsoft.com/office/2006/metadata/properties" xmlns:ns2="51b6e2eb-ecd6-448c-a4e4-4d85f568c96a" targetNamespace="http://schemas.microsoft.com/office/2006/metadata/properties" ma:root="true" ma:fieldsID="b9f1f0a62e5ad8e5af1802a76067a224" ns2:_="">
    <xsd:import namespace="51b6e2eb-ecd6-448c-a4e4-4d85f568c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9B86-C685-4FEA-9C95-CB47E80EB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2F2C0-704F-4B95-96CC-F25E7A1FA6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73459-8ADF-460B-A294-D3AF3DD27123}">
  <ds:schemaRefs>
    <ds:schemaRef ds:uri="http://schemas.microsoft.com/sharepoint/v3/contenttype/forms"/>
  </ds:schemaRefs>
</ds:datastoreItem>
</file>

<file path=customXml/itemProps4.xml><?xml version="1.0" encoding="utf-8"?>
<ds:datastoreItem xmlns:ds="http://schemas.openxmlformats.org/officeDocument/2006/customXml" ds:itemID="{D5FB82B6-66AF-4CF3-9BD9-EC0C7B66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IMHA First year Report </vt:lpstr>
    </vt:vector>
  </TitlesOfParts>
  <Manager/>
  <Company>Victoria Legal Aid </Company>
  <LinksUpToDate>false</LinksUpToDate>
  <CharactersWithSpaces>7159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 First year Report </dc:title>
  <dc:subject/>
  <dc:creator>IMHA</dc:creator>
  <cp:keywords/>
  <dc:description/>
  <cp:lastModifiedBy/>
  <cp:revision>1</cp:revision>
  <dcterms:created xsi:type="dcterms:W3CDTF">2021-04-27T23:58:00Z</dcterms:created>
  <dcterms:modified xsi:type="dcterms:W3CDTF">2021-04-27T23:58:00Z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0x0101000CE563F8111D9B40AD48BC31ABC2E20D00A5B8577A5F418147B51706CD4565A819</vt:lpwstr>
  </op:property>
  <op:property fmtid="{D5CDD505-2E9C-101B-9397-08002B2CF9AE}" pid="4" name="Function">
    <vt:lpwstr>58;#Mental Health Advocacy|ce43bc44-1767-4402-a516-235ef5372288</vt:lpwstr>
  </op:property>
  <op:property fmtid="{D5CDD505-2E9C-101B-9397-08002B2CF9AE}" pid="5" name="k85b50b034274bb086b1881f82103455">
    <vt:lpwstr>Client Service|76e950d3-db5e-41a3-a499-27ff3856a45b</vt:lpwstr>
  </op:property>
  <op:property fmtid="{D5CDD505-2E9C-101B-9397-08002B2CF9AE}" pid="6" name="TaxCatchAll">
    <vt:lpwstr>58;#Mental Health Advocacy|ce43bc44-1767-4402-a516-235ef5372288;#57;#Client Service|76e950d3-db5e-41a3-a499-27ff3856a45b</vt:lpwstr>
  </op:property>
  <op:property fmtid="{D5CDD505-2E9C-101B-9397-08002B2CF9AE}" pid="7" name="g0e08bd3800f4789a2eb49265723c930">
    <vt:lpwstr>Mental Health Advocacy|ce43bc44-1767-4402-a516-235ef5372288</vt:lpwstr>
  </op:property>
  <op:property fmtid="{D5CDD505-2E9C-101B-9397-08002B2CF9AE}" pid="8" name="Activity">
    <vt:lpwstr>57;#Client Service|76e950d3-db5e-41a3-a499-27ff3856a45b</vt:lpwstr>
  </op:property>
  <op:property fmtid="{D5CDD505-2E9C-101B-9397-08002B2CF9AE}" pid="9" name="_MarkAsFinal">
    <vt:bool>true</vt:bool>
  </op:property>
</op:Properties>
</file>